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w:t>
      </w:r>
      <w:r>
        <w:rPr>
          <w:rFonts w:hint="eastAsia" w:ascii="宋体" w:hAnsi="宋体" w:cs="宋体"/>
          <w:b/>
          <w:bCs/>
          <w:sz w:val="32"/>
          <w:szCs w:val="32"/>
          <w:lang w:val="en-US" w:eastAsia="zh-CN"/>
        </w:rPr>
        <w:t>图形图像开发实验室建设项目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ZCZB2024004</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1</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图形图像开发实验室建设</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图形图像开发实验室建设</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海安校区知行楼304、405</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25</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400</w:t>
      </w:r>
      <w:r>
        <w:rPr>
          <w:rFonts w:hint="eastAsia" w:ascii="黑体" w:hAnsi="黑体" w:eastAsia="黑体" w:cs="黑体"/>
          <w:b/>
          <w:bCs/>
          <w:sz w:val="24"/>
          <w:szCs w:val="24"/>
        </w:rPr>
        <w:t>元</w:t>
      </w:r>
      <w:r>
        <w:rPr>
          <w:rFonts w:hint="eastAsia" w:ascii="宋体" w:hAnsi="宋体" w:eastAsia="宋体" w:cs="宋体"/>
          <w:sz w:val="24"/>
          <w:szCs w:val="24"/>
        </w:rPr>
        <w:t>（</w:t>
      </w:r>
      <w:r>
        <w:rPr>
          <w:rFonts w:hint="eastAsia" w:ascii="宋体" w:hAnsi="宋体" w:cs="宋体"/>
          <w:sz w:val="24"/>
          <w:szCs w:val="24"/>
          <w:lang w:val="en-US" w:eastAsia="zh-CN"/>
        </w:rPr>
        <w:t>微信转账</w:t>
      </w:r>
      <w:r>
        <w:rPr>
          <w:rFonts w:hint="eastAsia" w:ascii="宋体" w:hAnsi="宋体" w:eastAsia="宋体" w:cs="宋体"/>
          <w:sz w:val="24"/>
          <w:szCs w:val="24"/>
        </w:rPr>
        <w:t>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w:t>
      </w:r>
      <w:r>
        <w:rPr>
          <w:rFonts w:hint="eastAsia" w:ascii="黑体" w:hAnsi="黑体" w:eastAsia="黑体" w:cs="黑体"/>
          <w:b/>
          <w:bCs/>
          <w:sz w:val="24"/>
          <w:szCs w:val="24"/>
          <w:lang w:val="en-US" w:eastAsia="zh-CN"/>
        </w:rPr>
        <w:t>转账时请注明单位名称及投标项目名称</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4</w:t>
      </w:r>
      <w:bookmarkStart w:id="58" w:name="_GoBack"/>
      <w:bookmarkEnd w:id="58"/>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2、递交投标文</w:t>
      </w:r>
      <w:r>
        <w:rPr>
          <w:rFonts w:hint="eastAsia" w:ascii="宋体" w:hAnsi="宋体" w:eastAsia="宋体" w:cs="宋体"/>
          <w:color w:val="auto"/>
          <w:sz w:val="24"/>
          <w:szCs w:val="24"/>
          <w:highlight w:val="none"/>
        </w:rPr>
        <w:t>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19</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19</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3"/>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3"/>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技术咨询：印老师 18860978195</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4"/>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5"/>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4"/>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4"/>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szCs w:val="21"/>
                <w:lang w:val="en-US" w:eastAsia="zh-CN"/>
              </w:rPr>
              <w:t>相应资质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w:t>
            </w:r>
            <w:r>
              <w:rPr>
                <w:rFonts w:hint="eastAsia"/>
                <w:szCs w:val="21"/>
                <w:lang w:val="zh-TW" w:eastAsia="zh-CN"/>
              </w:rPr>
              <w:t>、</w:t>
            </w:r>
            <w:r>
              <w:rPr>
                <w:rFonts w:hint="eastAsia"/>
                <w:szCs w:val="21"/>
                <w:lang w:val="en-US" w:eastAsia="zh-CN"/>
              </w:rPr>
              <w:t>工期</w:t>
            </w:r>
            <w:r>
              <w:rPr>
                <w:rFonts w:hint="eastAsia"/>
                <w:szCs w:val="21"/>
                <w:lang w:val="zh-TW" w:eastAsia="zh-TW"/>
              </w:rPr>
              <w:t>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60" w:lineRule="auto"/>
        <w:ind w:firstLine="482" w:firstLineChars="200"/>
        <w:rPr>
          <w:rFonts w:hint="eastAsia"/>
          <w:b/>
          <w:sz w:val="24"/>
        </w:rPr>
      </w:pPr>
      <w:r>
        <w:rPr>
          <w:rFonts w:hint="eastAsia"/>
          <w:b/>
          <w:sz w:val="24"/>
        </w:rPr>
        <w:t>一、货物需求</w:t>
      </w:r>
    </w:p>
    <w:p>
      <w:pPr>
        <w:spacing w:line="353" w:lineRule="auto"/>
        <w:ind w:firstLine="482" w:firstLineChars="200"/>
        <w:rPr>
          <w:rFonts w:hint="default"/>
          <w:b/>
          <w:sz w:val="24"/>
          <w:lang w:val="en-US" w:eastAsia="zh-CN"/>
        </w:rPr>
      </w:pPr>
      <w:r>
        <w:rPr>
          <w:rFonts w:hint="eastAsia"/>
          <w:b/>
          <w:sz w:val="24"/>
          <w:lang w:val="en-US" w:eastAsia="zh-CN"/>
        </w:rPr>
        <w:t>详见附件</w:t>
      </w:r>
    </w:p>
    <w:p>
      <w:pPr>
        <w:numPr>
          <w:ilvl w:val="0"/>
          <w:numId w:val="2"/>
        </w:numPr>
        <w:spacing w:line="353" w:lineRule="auto"/>
        <w:ind w:firstLine="482" w:firstLineChars="200"/>
        <w:rPr>
          <w:rFonts w:hint="eastAsia"/>
          <w:b/>
          <w:sz w:val="24"/>
        </w:rPr>
      </w:pP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合同生效后25天内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34991461"/>
      <w:bookmarkStart w:id="5" w:name="_Toc12022"/>
      <w:bookmarkStart w:id="6" w:name="_Toc231282228"/>
      <w:bookmarkStart w:id="7" w:name="_Toc231289771"/>
      <w:bookmarkStart w:id="8" w:name="_Toc231281705"/>
      <w:bookmarkStart w:id="9" w:name="_Toc231284489"/>
      <w:bookmarkStart w:id="10" w:name="_Toc231305090"/>
      <w:bookmarkStart w:id="11" w:name="_Toc231279586"/>
      <w:bookmarkStart w:id="12" w:name="_Toc231276966"/>
      <w:bookmarkStart w:id="13" w:name="_Toc231279666"/>
      <w:bookmarkStart w:id="14" w:name="_Toc231279737"/>
      <w:bookmarkStart w:id="15" w:name="_Toc231279156"/>
      <w:bookmarkStart w:id="16" w:name="_Toc231286901"/>
      <w:bookmarkStart w:id="17" w:name="_Toc231281339"/>
      <w:bookmarkStart w:id="18" w:name="_Toc231279247"/>
      <w:bookmarkStart w:id="19" w:name="_Toc231280938"/>
      <w:bookmarkStart w:id="20" w:name="_Toc231289905"/>
      <w:bookmarkStart w:id="21" w:name="_Toc231289932"/>
      <w:bookmarkStart w:id="22" w:name="_Toc231280344"/>
      <w:bookmarkStart w:id="23" w:name="_Toc231280804"/>
      <w:bookmarkStart w:id="24" w:name="_Toc231304988"/>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0593"/>
      <w:bookmarkStart w:id="26" w:name="_Toc34991462"/>
      <w:bookmarkStart w:id="27" w:name="_Toc231279669"/>
      <w:bookmarkStart w:id="28" w:name="_Toc231289774"/>
      <w:bookmarkStart w:id="29" w:name="_Toc231286904"/>
      <w:bookmarkStart w:id="30" w:name="_Toc231281342"/>
      <w:bookmarkStart w:id="31" w:name="_Toc231304991"/>
      <w:bookmarkStart w:id="32" w:name="_Toc231305093"/>
      <w:bookmarkStart w:id="33" w:name="_Toc231281708"/>
      <w:bookmarkStart w:id="34" w:name="_Toc231280347"/>
      <w:bookmarkStart w:id="35" w:name="_Toc231284492"/>
      <w:bookmarkStart w:id="36" w:name="_Toc231279589"/>
      <w:bookmarkStart w:id="37" w:name="_Toc231280941"/>
      <w:bookmarkStart w:id="38" w:name="_Toc231289935"/>
      <w:bookmarkStart w:id="39" w:name="_Toc231282231"/>
      <w:bookmarkStart w:id="40" w:name="_Toc231279740"/>
      <w:bookmarkStart w:id="41" w:name="_Toc231280807"/>
      <w:bookmarkStart w:id="42" w:name="_Toc407266082"/>
      <w:bookmarkStart w:id="43" w:name="_Toc231289908"/>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17756"/>
      <w:bookmarkStart w:id="49" w:name="_Toc34991465"/>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34991467"/>
      <w:bookmarkStart w:id="53" w:name="_Toc13075"/>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4"/>
        <w:rPr>
          <w:rFonts w:ascii="宋体" w:hAnsi="宋体" w:eastAsia="宋体" w:cs="宋体"/>
          <w:spacing w:val="-10"/>
          <w:sz w:val="28"/>
          <w:szCs w:val="28"/>
        </w:rPr>
      </w:pPr>
    </w:p>
    <w:p>
      <w:pPr>
        <w:pStyle w:val="3"/>
        <w:rPr>
          <w:b w:val="0"/>
          <w:color w:val="000000"/>
          <w:sz w:val="44"/>
          <w:szCs w:val="44"/>
        </w:rPr>
      </w:pPr>
      <w:bookmarkStart w:id="56" w:name="_Toc30136"/>
      <w:bookmarkStart w:id="57" w:name="_Toc34991468"/>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4"/>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5F5AB"/>
    <w:multiLevelType w:val="singleLevel"/>
    <w:tmpl w:val="BD45F5AB"/>
    <w:lvl w:ilvl="0" w:tentative="0">
      <w:start w:val="2"/>
      <w:numFmt w:val="chineseCounting"/>
      <w:suff w:val="nothing"/>
      <w:lvlText w:val="%1、"/>
      <w:lvlJc w:val="left"/>
      <w:rPr>
        <w:rFonts w:hint="eastAsia"/>
      </w:rPr>
    </w:lvl>
  </w:abstractNum>
  <w:abstractNum w:abstractNumId="1">
    <w:nsid w:val="3A4EF7BB"/>
    <w:multiLevelType w:val="singleLevel"/>
    <w:tmpl w:val="3A4EF7B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D805F7"/>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0C1AE9"/>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E6E5541"/>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A7532"/>
    <w:rsid w:val="7662297F"/>
    <w:rsid w:val="77C16289"/>
    <w:rsid w:val="77C819C8"/>
    <w:rsid w:val="77D53B6D"/>
    <w:rsid w:val="77F9775E"/>
    <w:rsid w:val="78246CD9"/>
    <w:rsid w:val="788B5018"/>
    <w:rsid w:val="78930A25"/>
    <w:rsid w:val="79427311"/>
    <w:rsid w:val="7A5806A3"/>
    <w:rsid w:val="7A835A7B"/>
    <w:rsid w:val="7A9018C8"/>
    <w:rsid w:val="7AE077B3"/>
    <w:rsid w:val="7B7E5661"/>
    <w:rsid w:val="7B9F31C9"/>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next w:val="8"/>
    <w:link w:val="24"/>
    <w:autoRedefine/>
    <w:qFormat/>
    <w:uiPriority w:val="0"/>
    <w:pPr>
      <w:snapToGrid w:val="0"/>
      <w:spacing w:before="120" w:after="120" w:line="360" w:lineRule="auto"/>
    </w:pPr>
    <w:rPr>
      <w:rFonts w:ascii="宋体" w:hAnsi="宋体"/>
      <w:sz w:val="24"/>
      <w:szCs w:val="20"/>
    </w:rPr>
  </w:style>
  <w:style w:type="paragraph" w:customStyle="1" w:styleId="8">
    <w:name w:val="Default"/>
    <w:next w:val="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0">
    <w:name w:val="Plain Text"/>
    <w:basedOn w:val="1"/>
    <w:link w:val="25"/>
    <w:autoRedefine/>
    <w:qFormat/>
    <w:uiPriority w:val="0"/>
    <w:rPr>
      <w:rFonts w:ascii="宋体" w:hAnsi="Courier New"/>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spacing w:beforeAutospacing="1" w:afterAutospacing="1"/>
      <w:jc w:val="left"/>
    </w:pPr>
    <w:rPr>
      <w:rFonts w:ascii="Calibri" w:hAnsi="Calibri"/>
      <w:kern w:val="0"/>
      <w:sz w:val="24"/>
    </w:rPr>
  </w:style>
  <w:style w:type="paragraph" w:styleId="14">
    <w:name w:val="Body Text First Indent"/>
    <w:basedOn w:val="7"/>
    <w:autoRedefine/>
    <w:qFormat/>
    <w:uiPriority w:val="99"/>
    <w:pPr>
      <w:ind w:firstLine="420" w:firstLineChars="100"/>
    </w:p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Times New Roman" w:hAnsi="Times New Roman" w:eastAsia="宋体" w:cs="Times New Roman"/>
    </w:rPr>
  </w:style>
  <w:style w:type="character" w:styleId="19">
    <w:name w:val="Hyperlink"/>
    <w:basedOn w:val="17"/>
    <w:autoRedefine/>
    <w:unhideWhenUsed/>
    <w:qFormat/>
    <w:uiPriority w:val="99"/>
    <w:rPr>
      <w:color w:val="0000FF"/>
      <w:u w:val="single"/>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10"/>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7"/>
    <w:link w:val="6"/>
    <w:autoRedefine/>
    <w:qFormat/>
    <w:uiPriority w:val="99"/>
    <w:rPr>
      <w:kern w:val="2"/>
      <w:sz w:val="21"/>
      <w:szCs w:val="21"/>
    </w:rPr>
  </w:style>
  <w:style w:type="character" w:customStyle="1" w:styleId="29">
    <w:name w:val="15"/>
    <w:basedOn w:val="17"/>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5</TotalTime>
  <ScaleCrop>false</ScaleCrop>
  <LinksUpToDate>false</LinksUpToDate>
  <CharactersWithSpaces>11267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2024-01-28T00:09:46Z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6595B93F6EBA4EE785185F3806FEC763_13</vt:lpwstr>
  </property>
</Properties>
</file>