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项目名称：南通理工学院</w:t>
      </w:r>
      <w:r>
        <w:rPr>
          <w:rFonts w:hint="eastAsia" w:ascii="宋体" w:hAnsi="宋体" w:cs="宋体"/>
          <w:b/>
          <w:bCs/>
          <w:sz w:val="32"/>
          <w:szCs w:val="32"/>
          <w:lang w:val="en-US" w:eastAsia="zh-CN"/>
        </w:rPr>
        <w:t>智能审计综合案例实训软件采购</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ZCZB2024008</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商学院智能审计综合案例实训软件采购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智能审计综合案例实训软件采购</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海安校区知行楼210。</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整个项目最终交付时间为自合同</w:t>
      </w:r>
      <w:r>
        <w:rPr>
          <w:rFonts w:hint="eastAsia" w:ascii="宋体" w:hAnsi="宋体" w:cs="宋体"/>
          <w:color w:val="auto"/>
          <w:sz w:val="24"/>
          <w:szCs w:val="24"/>
          <w:highlight w:val="none"/>
          <w:lang w:val="en-US" w:eastAsia="zh-CN"/>
        </w:rPr>
        <w:t>生效</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不超过</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天</w:t>
      </w:r>
      <w:r>
        <w:rPr>
          <w:rFonts w:hint="eastAsia" w:ascii="宋体" w:hAnsi="宋体" w:eastAsia="宋体" w:cs="宋体"/>
          <w:color w:val="0000FF"/>
          <w:sz w:val="24"/>
          <w:szCs w:val="24"/>
          <w:highlight w:val="none"/>
          <w:lang w:val="en-US" w:eastAsia="zh-CN"/>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1"/>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1"/>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技术咨询：吕老师13912041001</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2"/>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w:t>
      </w:r>
      <w:r>
        <w:rPr>
          <w:rFonts w:hint="eastAsia" w:cs="Times New Roman"/>
          <w:sz w:val="24"/>
          <w:lang w:eastAsia="zh-CN"/>
        </w:rPr>
        <w:t>、</w:t>
      </w:r>
      <w:r>
        <w:rPr>
          <w:rFonts w:hint="eastAsia" w:ascii="黑体" w:hAnsi="黑体" w:eastAsia="黑体" w:cs="黑体"/>
          <w:b/>
          <w:bCs/>
          <w:color w:val="0000FF"/>
          <w:sz w:val="24"/>
          <w:szCs w:val="24"/>
          <w:highlight w:val="none"/>
          <w:lang w:val="en-US" w:eastAsia="zh-CN"/>
        </w:rPr>
        <w:t>软件著作权资质证明</w:t>
      </w:r>
      <w:r>
        <w:rPr>
          <w:rFonts w:hint="eastAsia" w:ascii="Times New Roman" w:hAnsi="Times New Roman" w:cs="Times New Roman"/>
          <w:sz w:val="24"/>
        </w:rPr>
        <w:t>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3"/>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32</w:t>
            </w:r>
            <w:r>
              <w:rPr>
                <w:rFonts w:hint="eastAsia"/>
                <w:color w:val="auto"/>
                <w:szCs w:val="21"/>
              </w:rPr>
              <w:t>分。▲为实质性要求，有一项负偏离扣2分，扣完为止。</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p>
          <w:p>
            <w:pPr>
              <w:pStyle w:val="12"/>
              <w:spacing w:after="0" w:line="240" w:lineRule="auto"/>
              <w:ind w:firstLine="211"/>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2"/>
              <w:spacing w:after="0" w:line="360" w:lineRule="auto"/>
              <w:ind w:firstLine="211"/>
              <w:rPr>
                <w:rFonts w:hint="eastAsia" w:ascii="Times New Roman" w:hAnsi="Times New Roman" w:eastAsia="宋体" w:cs="Times New Roman"/>
                <w:b/>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color w:val="auto"/>
                <w:szCs w:val="21"/>
                <w:lang w:val="en-US" w:eastAsia="zh-CN"/>
              </w:rPr>
            </w:pPr>
            <w:r>
              <w:rPr>
                <w:rFonts w:hint="eastAsia"/>
                <w:color w:val="auto"/>
                <w:szCs w:val="21"/>
              </w:rPr>
              <w:t>投标人应具有</w:t>
            </w:r>
            <w:r>
              <w:rPr>
                <w:rFonts w:hint="eastAsia"/>
                <w:color w:val="auto"/>
                <w:szCs w:val="21"/>
                <w:lang w:val="en-US" w:eastAsia="zh-CN"/>
              </w:rPr>
              <w:t>相应资质</w:t>
            </w:r>
            <w:r>
              <w:rPr>
                <w:rFonts w:hint="eastAsia"/>
                <w:color w:val="auto"/>
                <w:szCs w:val="21"/>
              </w:rPr>
              <w:t>。提供</w:t>
            </w:r>
            <w:r>
              <w:rPr>
                <w:rFonts w:hint="eastAsia"/>
                <w:color w:val="auto"/>
                <w:szCs w:val="21"/>
                <w:lang w:val="en-US" w:eastAsia="zh-CN"/>
              </w:rPr>
              <w:t>一项</w:t>
            </w:r>
            <w:r>
              <w:rPr>
                <w:rFonts w:hint="eastAsia"/>
                <w:color w:val="auto"/>
                <w:szCs w:val="21"/>
              </w:rPr>
              <w:t>得1分，未提供不得分。 需提供有关证书复印件并加盖公章。</w:t>
            </w:r>
            <w:r>
              <w:rPr>
                <w:rFonts w:hint="eastAsia"/>
                <w:color w:val="auto"/>
                <w:szCs w:val="21"/>
                <w:lang w:val="en-US" w:eastAsia="zh-CN"/>
              </w:rPr>
              <w:t>最多得5分。</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TW" w:eastAsia="zh-TW"/>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1"/>
                <w:szCs w:val="21"/>
                <w:lang w:val="en-US" w:eastAsia="zh-CN"/>
              </w:rPr>
            </w:pPr>
            <w:r>
              <w:rPr>
                <w:rFonts w:hint="eastAsia"/>
                <w:color w:val="auto"/>
                <w:szCs w:val="21"/>
                <w:lang w:val="zh-TW" w:eastAsia="zh-TW"/>
              </w:rPr>
              <w:t>满足招标文件要求得</w:t>
            </w:r>
            <w:r>
              <w:rPr>
                <w:rFonts w:hint="eastAsia"/>
                <w:color w:val="auto"/>
                <w:szCs w:val="21"/>
                <w:lang w:val="zh-CN"/>
              </w:rPr>
              <w:t>3</w:t>
            </w:r>
            <w:r>
              <w:rPr>
                <w:rFonts w:hint="eastAsia"/>
                <w:color w:val="auto"/>
                <w:szCs w:val="21"/>
                <w:lang w:val="zh-TW" w:eastAsia="zh-TW"/>
              </w:rPr>
              <w:t>分；每延长一年加</w:t>
            </w:r>
            <w:r>
              <w:rPr>
                <w:rFonts w:hint="eastAsia"/>
                <w:color w:val="auto"/>
                <w:szCs w:val="21"/>
                <w:lang w:val="zh-CN"/>
              </w:rPr>
              <w:t>1</w:t>
            </w:r>
            <w:r>
              <w:rPr>
                <w:rFonts w:hint="eastAsia"/>
                <w:color w:val="auto"/>
                <w:szCs w:val="21"/>
                <w:lang w:val="zh-TW" w:eastAsia="zh-TW"/>
              </w:rPr>
              <w:t>分，最多加</w:t>
            </w:r>
            <w:r>
              <w:rPr>
                <w:rFonts w:hint="eastAsia"/>
                <w:color w:val="auto"/>
                <w:szCs w:val="21"/>
                <w:lang w:val="zh-CN"/>
              </w:rPr>
              <w:t>2</w:t>
            </w:r>
            <w:r>
              <w:rPr>
                <w:rFonts w:hint="eastAsia"/>
                <w:color w:val="auto"/>
                <w:szCs w:val="21"/>
                <w:lang w:val="zh-TW" w:eastAsia="zh-TW"/>
              </w:rPr>
              <w:t>分。</w:t>
            </w:r>
            <w:r>
              <w:rPr>
                <w:rFonts w:hint="eastAsia" w:ascii="黑体" w:hAnsi="黑体" w:eastAsia="黑体" w:cs="黑体"/>
                <w:b/>
                <w:bCs/>
                <w:color w:val="auto"/>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培训方案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zh-TW" w:eastAsia="zh-TW"/>
              </w:rPr>
            </w:pPr>
            <w:r>
              <w:rPr>
                <w:rFonts w:hint="eastAsia" w:ascii="Times New Roman" w:hAnsi="Times New Roman" w:eastAsia="宋体" w:cs="Times New Roman"/>
                <w:color w:val="auto"/>
                <w:szCs w:val="21"/>
                <w:lang w:val="zh-TW" w:eastAsia="zh-TW"/>
              </w:rPr>
              <w:t>有针对性的培训方案，培训方案应包括培训的时间、地点、 目标、方式、内容、对象和措施。对方案的科学性可行性进行综合评比。得 1-2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工期</w:t>
            </w:r>
            <w:r>
              <w:rPr>
                <w:rFonts w:hint="eastAsia"/>
                <w:szCs w:val="21"/>
                <w:lang w:val="zh-TW" w:eastAsia="zh-TW"/>
              </w:rPr>
              <w:t>等服务承诺进行评分，优得</w:t>
            </w:r>
            <w:r>
              <w:rPr>
                <w:rFonts w:hint="eastAsia"/>
                <w:szCs w:val="21"/>
                <w:lang w:val="en-US" w:eastAsia="zh-CN"/>
              </w:rPr>
              <w:t>4</w:t>
            </w:r>
            <w:r>
              <w:rPr>
                <w:rFonts w:hint="eastAsia"/>
                <w:szCs w:val="21"/>
                <w:lang w:val="zh-TW" w:eastAsia="zh-TW"/>
              </w:rPr>
              <w:t>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color w:val="00B0F0"/>
                <w:szCs w:val="21"/>
              </w:rPr>
              <w:t>202</w:t>
            </w:r>
            <w:r>
              <w:rPr>
                <w:rFonts w:hint="eastAsia"/>
                <w:color w:val="00B0F0"/>
                <w:szCs w:val="21"/>
                <w:lang w:val="en-US" w:eastAsia="zh-CN"/>
              </w:rPr>
              <w:t>1</w:t>
            </w:r>
            <w:r>
              <w:rPr>
                <w:rFonts w:hint="eastAsia"/>
                <w:color w:val="00B0F0"/>
                <w:szCs w:val="21"/>
                <w:lang w:val="zh-TW" w:eastAsia="zh-TW"/>
              </w:rPr>
              <w:t>年</w:t>
            </w:r>
            <w:r>
              <w:rPr>
                <w:rFonts w:hint="eastAsia"/>
                <w:color w:val="00B0F0"/>
                <w:szCs w:val="21"/>
              </w:rPr>
              <w:t>1</w:t>
            </w:r>
            <w:r>
              <w:rPr>
                <w:rFonts w:hint="eastAsia"/>
                <w:color w:val="00B0F0"/>
                <w:szCs w:val="21"/>
                <w:lang w:val="zh-TW" w:eastAsia="zh-TW"/>
              </w:rPr>
              <w:t>月</w:t>
            </w:r>
            <w:r>
              <w:rPr>
                <w:rFonts w:hint="eastAsia"/>
                <w:color w:val="00B0F0"/>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rPr>
              <w:t>1</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合同生效后20天内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0344"/>
      <w:bookmarkStart w:id="7" w:name="_Toc231279737"/>
      <w:bookmarkStart w:id="8" w:name="_Toc231282228"/>
      <w:bookmarkStart w:id="9" w:name="_Toc231279666"/>
      <w:bookmarkStart w:id="10" w:name="_Toc231279586"/>
      <w:bookmarkStart w:id="11" w:name="_Toc231289771"/>
      <w:bookmarkStart w:id="12" w:name="_Toc231276966"/>
      <w:bookmarkStart w:id="13" w:name="_Toc231284489"/>
      <w:bookmarkStart w:id="14" w:name="_Toc231281339"/>
      <w:bookmarkStart w:id="15" w:name="_Toc231286901"/>
      <w:bookmarkStart w:id="16" w:name="_Toc231279156"/>
      <w:bookmarkStart w:id="17" w:name="_Toc231279247"/>
      <w:bookmarkStart w:id="18" w:name="_Toc231289932"/>
      <w:bookmarkStart w:id="19" w:name="_Toc231305090"/>
      <w:bookmarkStart w:id="20" w:name="_Toc231280938"/>
      <w:bookmarkStart w:id="21" w:name="_Toc231281705"/>
      <w:bookmarkStart w:id="22" w:name="_Toc231304988"/>
      <w:bookmarkStart w:id="23" w:name="_Toc231289905"/>
      <w:bookmarkStart w:id="24" w:name="_Toc231280804"/>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305093"/>
      <w:bookmarkStart w:id="28" w:name="_Toc231289908"/>
      <w:bookmarkStart w:id="29" w:name="_Toc231281342"/>
      <w:bookmarkStart w:id="30" w:name="_Toc231279669"/>
      <w:bookmarkStart w:id="31" w:name="_Toc231304991"/>
      <w:bookmarkStart w:id="32" w:name="_Toc231286904"/>
      <w:bookmarkStart w:id="33" w:name="_Toc231289935"/>
      <w:bookmarkStart w:id="34" w:name="_Toc231289774"/>
      <w:bookmarkStart w:id="35" w:name="_Toc231279740"/>
      <w:bookmarkStart w:id="36" w:name="_Toc407266082"/>
      <w:bookmarkStart w:id="37" w:name="_Toc231280347"/>
      <w:bookmarkStart w:id="38" w:name="_Toc231281708"/>
      <w:bookmarkStart w:id="39" w:name="_Toc231280941"/>
      <w:bookmarkStart w:id="40" w:name="_Toc231279589"/>
      <w:bookmarkStart w:id="41" w:name="_Toc231280807"/>
      <w:bookmarkStart w:id="42" w:name="_Toc231282231"/>
      <w:bookmarkStart w:id="43" w:name="_Toc23128449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bookmarkStart w:id="58" w:name="_GoBack"/>
      <w:bookmarkEnd w:id="58"/>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2"/>
        <w:rPr>
          <w:rFonts w:ascii="宋体" w:hAnsi="宋体" w:eastAsia="宋体" w:cs="宋体"/>
          <w:spacing w:val="-10"/>
          <w:sz w:val="28"/>
          <w:szCs w:val="28"/>
        </w:rPr>
      </w:pPr>
    </w:p>
    <w:p>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2"/>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link w:val="24"/>
    <w:autoRedefine/>
    <w:qFormat/>
    <w:uiPriority w:val="0"/>
    <w:pPr>
      <w:snapToGrid w:val="0"/>
      <w:spacing w:before="120" w:after="120" w:line="360" w:lineRule="auto"/>
    </w:pPr>
    <w:rPr>
      <w:rFonts w:ascii="宋体" w:hAnsi="宋体"/>
      <w:sz w:val="24"/>
      <w:szCs w:val="20"/>
    </w:rPr>
  </w:style>
  <w:style w:type="paragraph" w:styleId="8">
    <w:name w:val="Plain Text"/>
    <w:basedOn w:val="1"/>
    <w:link w:val="25"/>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ascii="Calibri" w:hAnsi="Calibri"/>
      <w:kern w:val="0"/>
      <w:sz w:val="24"/>
    </w:rPr>
  </w:style>
  <w:style w:type="paragraph" w:styleId="12">
    <w:name w:val="Body Text First Indent"/>
    <w:basedOn w:val="7"/>
    <w:autoRedefine/>
    <w:qFormat/>
    <w:uiPriority w:val="99"/>
    <w:pPr>
      <w:ind w:firstLine="420" w:firstLineChars="100"/>
    </w:p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Times New Roman" w:hAnsi="Times New Roman" w:eastAsia="宋体" w:cs="Times New Roman"/>
    </w:rPr>
  </w:style>
  <w:style w:type="character" w:styleId="17">
    <w:name w:val="Hyperlink"/>
    <w:basedOn w:val="15"/>
    <w:autoRedefine/>
    <w:unhideWhenUsed/>
    <w:qFormat/>
    <w:uiPriority w:val="99"/>
    <w:rPr>
      <w:color w:val="0000FF"/>
      <w:u w:val="single"/>
    </w:rPr>
  </w:style>
  <w:style w:type="paragraph" w:customStyle="1" w:styleId="18">
    <w:name w:val="Default"/>
    <w:next w:val="1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8"/>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5"/>
    <w:link w:val="6"/>
    <w:autoRedefine/>
    <w:qFormat/>
    <w:uiPriority w:val="99"/>
    <w:rPr>
      <w:kern w:val="2"/>
      <w:sz w:val="21"/>
      <w:szCs w:val="21"/>
    </w:rPr>
  </w:style>
  <w:style w:type="character" w:customStyle="1" w:styleId="29">
    <w:name w:val="15"/>
    <w:basedOn w:val="15"/>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43</TotalTime>
  <ScaleCrop>false</ScaleCrop>
  <LinksUpToDate>false</LinksUpToDate>
  <CharactersWithSpaces>11267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2024-04-07T01:34:40Z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8A70C8F2B8504748A12F2AC361E225A9_13</vt:lpwstr>
  </property>
</Properties>
</file>