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pPr>
        <w:spacing w:line="500" w:lineRule="exact"/>
        <w:jc w:val="center"/>
        <w:rPr>
          <w:rFonts w:ascii="黑体" w:hAnsi="黑体" w:eastAsia="黑体" w:cs="黑体"/>
          <w:b/>
          <w:bCs/>
          <w:sz w:val="48"/>
          <w:szCs w:val="48"/>
        </w:rPr>
      </w:pPr>
    </w:p>
    <w:p>
      <w:pPr>
        <w:pStyle w:val="20"/>
      </w:pPr>
    </w:p>
    <w:p>
      <w:pPr>
        <w:spacing w:line="500" w:lineRule="exact"/>
        <w:jc w:val="center"/>
        <w:rPr>
          <w:rFonts w:ascii="黑体" w:hAnsi="黑体" w:eastAsia="黑体" w:cs="黑体"/>
          <w:b/>
          <w:bCs/>
          <w:sz w:val="48"/>
          <w:szCs w:val="48"/>
        </w:rPr>
      </w:pPr>
    </w:p>
    <w:p>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pStyle w:val="20"/>
        <w:rPr>
          <w:rFonts w:ascii="宋体" w:hAnsi="宋体" w:cs="宋体"/>
          <w:sz w:val="24"/>
          <w:szCs w:val="24"/>
        </w:rPr>
      </w:pPr>
    </w:p>
    <w:p>
      <w:pPr>
        <w:jc w:val="center"/>
        <w:rPr>
          <w:rFonts w:ascii="宋体" w:hAnsi="宋体" w:cs="宋体"/>
          <w:sz w:val="24"/>
        </w:rPr>
      </w:pPr>
    </w:p>
    <w:p>
      <w:pPr>
        <w:jc w:val="center"/>
        <w:rPr>
          <w:rFonts w:ascii="宋体" w:hAnsi="宋体" w:cs="宋体"/>
          <w:sz w:val="24"/>
        </w:rPr>
      </w:pPr>
    </w:p>
    <w:p>
      <w:pPr>
        <w:jc w:val="center"/>
        <w:rPr>
          <w:rFonts w:hint="default"/>
          <w:szCs w:val="21"/>
          <w:lang w:val="en-US"/>
        </w:rPr>
      </w:pPr>
      <w:r>
        <w:rPr>
          <w:rFonts w:hint="eastAsia" w:ascii="宋体" w:hAnsi="宋体" w:cs="宋体"/>
          <w:b/>
          <w:bCs/>
          <w:sz w:val="32"/>
          <w:szCs w:val="32"/>
        </w:rPr>
        <w:t>项目名称：</w:t>
      </w:r>
      <w:r>
        <w:rPr>
          <w:rFonts w:hint="eastAsia" w:ascii="黑体" w:hAnsi="黑体" w:eastAsia="黑体" w:cs="黑体"/>
          <w:b/>
          <w:bCs/>
          <w:sz w:val="32"/>
          <w:szCs w:val="32"/>
          <w:lang w:val="en-US" w:eastAsia="zh-CN"/>
        </w:rPr>
        <w:t>海安校区直播基地专业设备采购项目</w:t>
      </w:r>
    </w:p>
    <w:p>
      <w:pPr>
        <w:rPr>
          <w:rFonts w:ascii="宋体" w:hAnsi="宋体" w:cs="宋体"/>
          <w:b/>
          <w:bCs/>
          <w:sz w:val="32"/>
          <w:szCs w:val="32"/>
        </w:rPr>
      </w:pPr>
      <w:r>
        <w:rPr>
          <w:rFonts w:hint="eastAsia" w:ascii="宋体" w:hAnsi="宋体" w:cs="宋体"/>
          <w:b/>
          <w:bCs/>
          <w:sz w:val="32"/>
          <w:szCs w:val="32"/>
        </w:rPr>
        <w:t xml:space="preserve">  </w:t>
      </w:r>
    </w:p>
    <w:p>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ZCZB2024019</w:t>
      </w:r>
      <w:r>
        <w:rPr>
          <w:rFonts w:hint="eastAsia"/>
          <w:b/>
          <w:bCs/>
          <w:sz w:val="24"/>
          <w:highlight w:val="none"/>
        </w:rPr>
        <w:t>）</w:t>
      </w:r>
    </w:p>
    <w:p>
      <w:pPr>
        <w:spacing w:line="360" w:lineRule="auto"/>
        <w:jc w:val="both"/>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rPr>
          <w:rFonts w:hint="eastAsia" w:asciiTheme="majorEastAsia" w:hAnsiTheme="majorEastAsia" w:eastAsiaTheme="majorEastAsia" w:cstheme="majorEastAsia"/>
          <w:b/>
          <w:bCs/>
          <w:sz w:val="32"/>
          <w:szCs w:val="32"/>
          <w:highlight w:val="none"/>
        </w:rPr>
      </w:pPr>
    </w:p>
    <w:p>
      <w:pPr>
        <w:pStyle w:val="20"/>
        <w:ind w:left="0" w:leftChars="0" w:firstLine="0" w:firstLineChars="0"/>
        <w:rPr>
          <w:rFonts w:hint="eastAsia" w:asciiTheme="majorEastAsia" w:hAnsiTheme="majorEastAsia" w:eastAsiaTheme="majorEastAsia" w:cstheme="majorEastAsia"/>
          <w:b/>
          <w:bCs/>
          <w:sz w:val="32"/>
          <w:szCs w:val="32"/>
          <w:highlight w:val="none"/>
        </w:rPr>
      </w:pPr>
    </w:p>
    <w:p>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月</w:t>
      </w:r>
    </w:p>
    <w:p>
      <w:pPr>
        <w:spacing w:line="440" w:lineRule="exact"/>
        <w:jc w:val="center"/>
        <w:rPr>
          <w:rFonts w:ascii="宋体" w:hAnsi="宋体"/>
          <w:b/>
          <w:bCs/>
          <w:sz w:val="30"/>
          <w:szCs w:val="30"/>
        </w:rPr>
      </w:pPr>
    </w:p>
    <w:p>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pPr>
        <w:spacing w:line="400" w:lineRule="exact"/>
        <w:ind w:firstLine="560" w:firstLineChars="200"/>
        <w:rPr>
          <w:rFonts w:ascii="仿宋" w:hAnsi="仿宋" w:eastAsia="仿宋" w:cs="仿宋"/>
          <w:color w:val="auto"/>
          <w:sz w:val="28"/>
          <w:szCs w:val="28"/>
        </w:rPr>
      </w:pPr>
    </w:p>
    <w:p>
      <w:pPr>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海安校区直播基地直播设备采购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pPr>
        <w:spacing w:line="360" w:lineRule="exact"/>
        <w:ind w:left="-1" w:firstLine="480" w:firstLineChars="200"/>
        <w:rPr>
          <w:rFonts w:hint="default" w:ascii="宋体" w:hAnsi="宋体" w:eastAsia="宋体" w:cs="宋体"/>
          <w:sz w:val="24"/>
          <w:szCs w:val="24"/>
          <w:lang w:val="en-US"/>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海安校区直播基地专业设备采购项目</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pPr>
        <w:spacing w:line="360" w:lineRule="exact"/>
        <w:ind w:left="-1"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和附件技术参数。</w:t>
      </w:r>
    </w:p>
    <w:p>
      <w:pPr>
        <w:spacing w:line="360" w:lineRule="exact"/>
        <w:ind w:left="-1" w:firstLine="480" w:firstLineChars="200"/>
        <w:rPr>
          <w:rFonts w:hint="default" w:ascii="宋体" w:hAnsi="宋体" w:eastAsia="宋体" w:cs="宋体"/>
          <w:color w:val="FF0000"/>
          <w:sz w:val="24"/>
          <w:szCs w:val="24"/>
          <w:highlight w:val="none"/>
          <w:lang w:val="en-US" w:eastAsia="zh-CN"/>
        </w:rPr>
      </w:pPr>
      <w:r>
        <w:rPr>
          <w:rFonts w:hint="eastAsia" w:ascii="宋体" w:hAnsi="宋体" w:eastAsia="宋体" w:cs="宋体"/>
          <w:sz w:val="24"/>
          <w:szCs w:val="24"/>
        </w:rPr>
        <w:t>3、项目概况：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海安校区科创楼10楼</w:t>
      </w:r>
      <w:r>
        <w:rPr>
          <w:rFonts w:hint="eastAsia" w:ascii="宋体" w:hAnsi="宋体" w:cs="宋体"/>
          <w:color w:val="FF0000"/>
          <w:spacing w:val="3"/>
          <w:sz w:val="24"/>
          <w:szCs w:val="24"/>
          <w:highlight w:val="none"/>
          <w:lang w:val="en-US" w:eastAsia="zh-CN"/>
          <w14:textOutline w14:w="4354" w14:cap="flat" w14:cmpd="sng">
            <w14:solidFill>
              <w14:srgbClr w14:val="000000"/>
            </w14:solidFill>
            <w14:prstDash w14:val="solid"/>
            <w14:miter w14:val="0"/>
          </w14:textOutline>
        </w:rPr>
        <w:t>。</w:t>
      </w:r>
    </w:p>
    <w:p>
      <w:pPr>
        <w:spacing w:line="360" w:lineRule="exact"/>
        <w:ind w:left="-1" w:firstLine="480" w:firstLineChars="200"/>
        <w:rPr>
          <w:rFonts w:hint="eastAsia" w:ascii="宋体" w:hAnsi="宋体" w:eastAsia="宋体" w:cs="宋体"/>
          <w:sz w:val="24"/>
          <w:szCs w:val="24"/>
          <w:lang w:val="en-US"/>
        </w:rPr>
      </w:pPr>
      <w:r>
        <w:rPr>
          <w:rFonts w:hint="eastAsia" w:ascii="宋体" w:hAnsi="宋体" w:eastAsia="宋体" w:cs="宋体"/>
          <w:sz w:val="24"/>
          <w:szCs w:val="24"/>
        </w:rPr>
        <w:t>4、工期要求</w:t>
      </w:r>
      <w:r>
        <w:rPr>
          <w:rFonts w:hint="eastAsia" w:ascii="宋体" w:hAnsi="宋体" w:eastAsia="宋体" w:cs="宋体"/>
          <w:sz w:val="24"/>
          <w:szCs w:val="24"/>
          <w:highlight w:val="none"/>
        </w:rPr>
        <w:t>：</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3</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0日前交付使用。</w:t>
      </w:r>
    </w:p>
    <w:p>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1、中国境内合法注册的企业法人；</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2、具有本次采购项目的供货、安装、售后服务等的相应能力和经验；</w:t>
      </w:r>
    </w:p>
    <w:p>
      <w:pPr>
        <w:spacing w:line="360" w:lineRule="exact"/>
        <w:ind w:left="-1"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3、采购项目的生产厂家或经销商</w:t>
      </w:r>
      <w:r>
        <w:rPr>
          <w:rFonts w:hint="eastAsia" w:ascii="宋体" w:hAnsi="宋体" w:eastAsia="宋体" w:cs="宋体"/>
          <w:sz w:val="24"/>
          <w:szCs w:val="24"/>
          <w:lang w:eastAsia="zh-CN"/>
        </w:rPr>
        <w:t>；</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4、供应商不得存在下列情况之一：</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（1）供应商最近三年内被“信用中国（www.creditchina.gov.cn）</w:t>
      </w:r>
      <w:r>
        <w:rPr>
          <w:rFonts w:hint="eastAsia" w:ascii="宋体" w:hAnsi="宋体" w:cs="宋体"/>
          <w:sz w:val="24"/>
          <w:szCs w:val="24"/>
          <w:lang w:eastAsia="zh-CN"/>
        </w:rPr>
        <w:t>”“</w:t>
      </w:r>
      <w:r>
        <w:rPr>
          <w:rFonts w:hint="eastAsia" w:ascii="宋体" w:hAnsi="宋体" w:eastAsia="宋体" w:cs="宋体"/>
          <w:sz w:val="24"/>
          <w:szCs w:val="24"/>
        </w:rPr>
        <w:t>中国政府 采购网（www.ccgp.gov.cn）</w:t>
      </w:r>
      <w:r>
        <w:rPr>
          <w:rFonts w:hint="eastAsia" w:ascii="宋体" w:hAnsi="宋体" w:cs="宋体"/>
          <w:sz w:val="24"/>
          <w:szCs w:val="24"/>
          <w:lang w:eastAsia="zh-CN"/>
        </w:rPr>
        <w:t>”“</w:t>
      </w:r>
      <w:r>
        <w:rPr>
          <w:rFonts w:hint="eastAsia" w:ascii="宋体" w:hAnsi="宋体" w:eastAsia="宋体" w:cs="宋体"/>
          <w:sz w:val="24"/>
          <w:szCs w:val="24"/>
        </w:rPr>
        <w:t>信用江苏（</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"http://credit.jiangsu.gov.cn" </w:instrText>
      </w:r>
      <w:r>
        <w:rPr>
          <w:rFonts w:hint="eastAsia" w:ascii="宋体" w:hAnsi="宋体" w:eastAsia="宋体" w:cs="宋体"/>
          <w:sz w:val="24"/>
          <w:szCs w:val="24"/>
        </w:rPr>
        <w:fldChar w:fldCharType="separate"/>
      </w:r>
      <w:r>
        <w:rPr>
          <w:rFonts w:hint="eastAsia" w:ascii="宋体" w:hAnsi="宋体" w:eastAsia="宋体" w:cs="宋体"/>
          <w:sz w:val="24"/>
          <w:szCs w:val="24"/>
        </w:rPr>
        <w:t>http://credit.jiangsu.gov.cn</w:t>
      </w:r>
      <w:r>
        <w:rPr>
          <w:rFonts w:hint="eastAsia" w:ascii="宋体" w:hAnsi="宋体" w:eastAsia="宋体" w:cs="宋体"/>
          <w:sz w:val="24"/>
          <w:szCs w:val="24"/>
        </w:rPr>
        <w:fldChar w:fldCharType="end"/>
      </w:r>
      <w:r>
        <w:rPr>
          <w:rFonts w:hint="eastAsia" w:ascii="宋体" w:hAnsi="宋体" w:eastAsia="宋体" w:cs="宋体"/>
          <w:sz w:val="24"/>
          <w:szCs w:val="24"/>
        </w:rPr>
        <w:t>）”网站列 入失信执行人、税收违法案件当事人名单、政府采购违法失信行为记录名单（处罚期限尚未届满）。</w:t>
      </w:r>
    </w:p>
    <w:p>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（2）法定代表人为同一人的两个及</w:t>
      </w:r>
      <w:r>
        <w:rPr>
          <w:rFonts w:hint="eastAsia" w:ascii="宋体" w:hAnsi="宋体" w:cs="宋体"/>
          <w:sz w:val="24"/>
          <w:szCs w:val="24"/>
          <w:lang w:eastAsia="zh-CN"/>
        </w:rPr>
        <w:t>两</w:t>
      </w:r>
      <w:r>
        <w:rPr>
          <w:rFonts w:hint="eastAsia" w:ascii="宋体" w:hAnsi="宋体" w:cs="宋体"/>
          <w:sz w:val="24"/>
          <w:szCs w:val="24"/>
          <w:lang w:val="en-US" w:eastAsia="zh-CN"/>
        </w:rPr>
        <w:t>个</w:t>
      </w:r>
      <w:r>
        <w:rPr>
          <w:rFonts w:hint="eastAsia" w:ascii="宋体" w:hAnsi="宋体" w:eastAsia="宋体" w:cs="宋体"/>
          <w:sz w:val="24"/>
          <w:szCs w:val="24"/>
        </w:rPr>
        <w:t>以上法人，母公司、全资子公司及其控股公司不得在本项目采购招标中同时参加。</w:t>
      </w:r>
    </w:p>
    <w:p>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三、投标人资格审查方式：资格后审。</w:t>
      </w:r>
    </w:p>
    <w:p>
      <w:pPr>
        <w:spacing w:before="136" w:line="219" w:lineRule="auto"/>
        <w:ind w:left="484"/>
        <w:rPr>
          <w:rFonts w:ascii="宋体" w:hAnsi="宋体" w:eastAsia="宋体" w:cs="宋体"/>
          <w:sz w:val="24"/>
          <w:szCs w:val="24"/>
        </w:rPr>
      </w:pPr>
      <w:r>
        <w:rPr>
          <w:rFonts w:hint="eastAsia" w:ascii="宋体" w:hAnsi="宋体" w:eastAsia="宋体" w:cs="宋体"/>
          <w:b/>
          <w:bCs/>
          <w:sz w:val="24"/>
          <w:szCs w:val="24"/>
        </w:rPr>
        <w:t>四、招标文件获取：</w:t>
      </w:r>
      <w:r>
        <w:rPr>
          <w:rFonts w:ascii="宋体" w:hAnsi="宋体" w:eastAsia="宋体" w:cs="宋体"/>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spacing w:val="2"/>
          <w:sz w:val="24"/>
          <w:szCs w:val="24"/>
          <w14:textOutline w14:w="4354" w14:cap="flat" w14:cmpd="sng">
            <w14:solidFill>
              <w14:srgbClr w14:val="000000"/>
            </w14:solidFill>
            <w14:prstDash w14:val="solid"/>
            <w14:miter w14:val="0"/>
          </w14:textOutline>
        </w:rPr>
        <w:t>办公室官网</w:t>
      </w:r>
    </w:p>
    <w:p>
      <w:pPr>
        <w:spacing w:before="135" w:line="420" w:lineRule="exact"/>
        <w:ind w:left="7"/>
        <w:rPr>
          <w:rFonts w:ascii="宋体" w:hAnsi="宋体" w:eastAsia="宋体" w:cs="宋体"/>
          <w:sz w:val="24"/>
          <w:szCs w:val="24"/>
        </w:rPr>
      </w:pP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position w:val="13"/>
          <w:sz w:val="21"/>
          <w:szCs w:val="21"/>
          <w:lang w:val="en-US" w:eastAsia="zh-CN"/>
        </w:rPr>
        <w:t>https://www.ntit.edu.cn/3554/</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spacing w:val="-63"/>
          <w:position w:val="13"/>
          <w:sz w:val="24"/>
          <w:szCs w:val="24"/>
        </w:rPr>
        <w:t xml:space="preserve"> </w:t>
      </w:r>
      <w:r>
        <w:rPr>
          <w:rFonts w:ascii="宋体" w:hAnsi="宋体" w:eastAsia="宋体" w:cs="宋体"/>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pPr>
        <w:spacing w:line="360" w:lineRule="exact"/>
        <w:ind w:left="-1" w:firstLine="482" w:firstLineChars="200"/>
        <w:rPr>
          <w:rFonts w:hint="eastAsia" w:ascii="宋体" w:hAnsi="宋体" w:eastAsia="宋体" w:cs="宋体"/>
          <w:sz w:val="24"/>
          <w:szCs w:val="24"/>
        </w:rPr>
      </w:pPr>
      <w:r>
        <w:rPr>
          <w:rFonts w:hint="eastAsia" w:ascii="宋体" w:hAnsi="宋体" w:eastAsia="宋体" w:cs="宋体"/>
          <w:b/>
          <w:bCs/>
          <w:sz w:val="24"/>
          <w:szCs w:val="24"/>
        </w:rPr>
        <w:t>五、招标文件售价：</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人民币</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2</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00元</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w:t>
      </w:r>
      <w:r>
        <w:rPr>
          <w:rFonts w:hint="eastAsia" w:ascii="宋体" w:hAnsi="宋体" w:cs="宋体"/>
          <w:sz w:val="24"/>
          <w:szCs w:val="24"/>
          <w:lang w:val="en-US" w:eastAsia="zh-CN"/>
        </w:rPr>
        <w:t>微信</w:t>
      </w:r>
      <w:r>
        <w:rPr>
          <w:rFonts w:hint="eastAsia" w:ascii="宋体" w:hAnsi="宋体" w:eastAsia="宋体" w:cs="宋体"/>
          <w:sz w:val="24"/>
          <w:szCs w:val="24"/>
        </w:rPr>
        <w:t>账号：</w:t>
      </w:r>
      <w:r>
        <w:rPr>
          <w:rFonts w:hint="eastAsia" w:ascii="黑体" w:hAnsi="黑体" w:eastAsia="黑体" w:cs="黑体"/>
          <w:b/>
          <w:bCs/>
          <w:sz w:val="24"/>
          <w:szCs w:val="24"/>
          <w:lang w:val="en-US" w:eastAsia="zh-CN"/>
        </w:rPr>
        <w:t>13485103026【陆*】</w:t>
      </w:r>
      <w:r>
        <w:rPr>
          <w:rFonts w:hint="eastAsia" w:ascii="宋体" w:hAnsi="宋体" w:eastAsia="宋体" w:cs="宋体"/>
          <w:sz w:val="24"/>
          <w:szCs w:val="24"/>
        </w:rPr>
        <w:t>。报名前缴纳，售后不退）。</w:t>
      </w:r>
    </w:p>
    <w:p>
      <w:pPr>
        <w:autoSpaceDE w:val="0"/>
        <w:spacing w:line="360" w:lineRule="exact"/>
        <w:ind w:firstLine="482" w:firstLineChars="200"/>
        <w:jc w:val="left"/>
        <w:rPr>
          <w:rFonts w:hint="eastAsia" w:ascii="宋体" w:hAnsi="宋体" w:eastAsia="宋体" w:cs="宋体"/>
          <w:b/>
          <w:bCs/>
          <w:color w:val="000000"/>
          <w:kern w:val="0"/>
          <w:sz w:val="24"/>
          <w:szCs w:val="24"/>
          <w:lang w:bidi="ar"/>
        </w:rPr>
      </w:pPr>
      <w:r>
        <w:rPr>
          <w:rFonts w:hint="eastAsia" w:ascii="宋体" w:hAnsi="宋体" w:cs="宋体"/>
          <w:b/>
          <w:bCs/>
          <w:color w:val="000000"/>
          <w:kern w:val="0"/>
          <w:sz w:val="24"/>
          <w:szCs w:val="24"/>
          <w:lang w:val="en-US" w:eastAsia="zh-CN" w:bidi="ar"/>
        </w:rPr>
        <w:t>六</w:t>
      </w:r>
      <w:r>
        <w:rPr>
          <w:rFonts w:hint="eastAsia" w:ascii="宋体" w:hAnsi="宋体" w:eastAsia="宋体" w:cs="宋体"/>
          <w:b/>
          <w:bCs/>
          <w:color w:val="000000"/>
          <w:kern w:val="0"/>
          <w:sz w:val="24"/>
          <w:szCs w:val="24"/>
          <w:lang w:bidi="ar"/>
        </w:rPr>
        <w:t>、报名要求</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1、投标报名时间：潜在投标人如确定参加投标，请务必于</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7</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前将“报名投标确认函”（格式见招标文件第五部分</w:t>
      </w:r>
      <w:r>
        <w:rPr>
          <w:rFonts w:hint="eastAsia" w:ascii="宋体" w:hAnsi="宋体" w:cs="宋体"/>
          <w:sz w:val="24"/>
          <w:szCs w:val="24"/>
          <w:highlight w:val="none"/>
          <w:lang w:val="en-US" w:eastAsia="zh-CN"/>
        </w:rPr>
        <w:t>附件11</w:t>
      </w:r>
      <w:r>
        <w:rPr>
          <w:rFonts w:hint="eastAsia" w:ascii="宋体" w:hAnsi="宋体" w:eastAsia="宋体" w:cs="宋体"/>
          <w:sz w:val="24"/>
          <w:szCs w:val="24"/>
          <w:highlight w:val="none"/>
        </w:rPr>
        <w:t>）填写完整后扫描</w:t>
      </w:r>
      <w:r>
        <w:rPr>
          <w:rFonts w:hint="eastAsia" w:ascii="宋体" w:hAnsi="宋体" w:cs="宋体"/>
          <w:sz w:val="24"/>
          <w:szCs w:val="24"/>
          <w:highlight w:val="none"/>
          <w:lang w:val="en-US" w:eastAsia="zh-CN"/>
        </w:rPr>
        <w:t>盖章</w:t>
      </w:r>
      <w:r>
        <w:rPr>
          <w:rFonts w:hint="eastAsia" w:ascii="宋体" w:hAnsi="宋体" w:eastAsia="宋体" w:cs="宋体"/>
          <w:sz w:val="24"/>
          <w:szCs w:val="24"/>
          <w:highlight w:val="none"/>
        </w:rPr>
        <w:t>+标书费汇款记录</w:t>
      </w:r>
      <w:r>
        <w:rPr>
          <w:rFonts w:hint="eastAsia" w:ascii="宋体" w:hAnsi="宋体" w:cs="宋体"/>
          <w:sz w:val="24"/>
          <w:szCs w:val="24"/>
          <w:highlight w:val="none"/>
          <w:lang w:val="en-US" w:eastAsia="zh-CN"/>
        </w:rPr>
        <w:t>截图</w:t>
      </w:r>
      <w:r>
        <w:rPr>
          <w:rFonts w:hint="eastAsia" w:ascii="宋体" w:hAnsi="宋体" w:eastAsia="宋体" w:cs="宋体"/>
          <w:sz w:val="24"/>
          <w:szCs w:val="24"/>
          <w:highlight w:val="none"/>
        </w:rPr>
        <w:t>，发送电子邮件至以下邮箱：caichl@ntit.edu.cn。邮件主题：***公司****项目报名。如潜在投标人未按上述要求操作，将自行承担所产生的风险。</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2、递交投标文件时间：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日1</w:t>
      </w:r>
      <w:r>
        <w:rPr>
          <w:rFonts w:hint="eastAsia" w:ascii="黑体" w:hAnsi="黑体" w:eastAsia="黑体" w:cs="黑体"/>
          <w:b/>
          <w:bCs/>
          <w:sz w:val="24"/>
          <w:szCs w:val="24"/>
          <w:highlight w:val="none"/>
          <w:lang w:val="en-US" w:eastAsia="zh-CN"/>
        </w:rPr>
        <w:t>1时00分</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将投标文件（要求密封）递交我校资产与基建处</w:t>
      </w:r>
      <w:r>
        <w:rPr>
          <w:rFonts w:hint="eastAsia" w:ascii="宋体" w:hAnsi="宋体" w:eastAsia="宋体" w:cs="宋体"/>
          <w:sz w:val="24"/>
          <w:szCs w:val="24"/>
          <w:highlight w:val="none"/>
          <w:lang w:val="en-US" w:eastAsia="zh-CN"/>
        </w:rPr>
        <w:t>资产</w:t>
      </w:r>
      <w:r>
        <w:rPr>
          <w:rFonts w:hint="eastAsia" w:ascii="宋体" w:hAnsi="宋体" w:eastAsia="宋体" w:cs="宋体"/>
          <w:sz w:val="24"/>
          <w:szCs w:val="24"/>
          <w:highlight w:val="none"/>
        </w:rPr>
        <w:t>招标采购中心。</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3、响应文件接收截止时间：</w:t>
      </w:r>
      <w:r>
        <w:rPr>
          <w:rFonts w:hint="eastAsia" w:ascii="黑体" w:hAnsi="黑体" w:eastAsia="黑体" w:cs="黑体"/>
          <w:b/>
          <w:bCs/>
          <w:sz w:val="24"/>
          <w:szCs w:val="24"/>
          <w:highlight w:val="none"/>
        </w:rPr>
        <w:t>202</w:t>
      </w:r>
      <w:r>
        <w:rPr>
          <w:rFonts w:hint="eastAsia" w:ascii="黑体" w:hAnsi="黑体" w:eastAsia="黑体" w:cs="黑体"/>
          <w:b/>
          <w:bCs/>
          <w:sz w:val="24"/>
          <w:szCs w:val="24"/>
          <w:highlight w:val="none"/>
          <w:lang w:val="en-US" w:eastAsia="zh-CN"/>
        </w:rPr>
        <w:t>4</w:t>
      </w:r>
      <w:r>
        <w:rPr>
          <w:rFonts w:hint="eastAsia" w:ascii="黑体" w:hAnsi="黑体" w:eastAsia="黑体" w:cs="黑体"/>
          <w:b/>
          <w:bCs/>
          <w:sz w:val="24"/>
          <w:szCs w:val="24"/>
          <w:highlight w:val="none"/>
        </w:rPr>
        <w:t>年</w:t>
      </w:r>
      <w:r>
        <w:rPr>
          <w:rFonts w:hint="eastAsia" w:ascii="黑体" w:hAnsi="黑体" w:eastAsia="黑体" w:cs="黑体"/>
          <w:b/>
          <w:bCs/>
          <w:sz w:val="24"/>
          <w:szCs w:val="24"/>
          <w:highlight w:val="none"/>
          <w:lang w:val="en-US" w:eastAsia="zh-CN"/>
        </w:rPr>
        <w:t>5</w:t>
      </w:r>
      <w:r>
        <w:rPr>
          <w:rFonts w:hint="eastAsia" w:ascii="黑体" w:hAnsi="黑体" w:eastAsia="黑体" w:cs="黑体"/>
          <w:b/>
          <w:bCs/>
          <w:sz w:val="24"/>
          <w:szCs w:val="24"/>
          <w:highlight w:val="none"/>
        </w:rPr>
        <w:t>月</w:t>
      </w:r>
      <w:r>
        <w:rPr>
          <w:rFonts w:hint="eastAsia" w:ascii="黑体" w:hAnsi="黑体" w:eastAsia="黑体" w:cs="黑体"/>
          <w:b/>
          <w:bCs/>
          <w:sz w:val="24"/>
          <w:szCs w:val="24"/>
          <w:highlight w:val="none"/>
          <w:lang w:val="en-US" w:eastAsia="zh-CN"/>
        </w:rPr>
        <w:t>10</w:t>
      </w:r>
      <w:r>
        <w:rPr>
          <w:rFonts w:hint="eastAsia" w:ascii="黑体" w:hAnsi="黑体" w:eastAsia="黑体" w:cs="黑体"/>
          <w:b/>
          <w:bCs/>
          <w:sz w:val="24"/>
          <w:szCs w:val="24"/>
          <w:highlight w:val="none"/>
        </w:rPr>
        <w:t>日</w:t>
      </w:r>
      <w:r>
        <w:rPr>
          <w:rFonts w:hint="eastAsia" w:ascii="黑体" w:hAnsi="黑体" w:eastAsia="黑体" w:cs="黑体"/>
          <w:b/>
          <w:bCs/>
          <w:sz w:val="24"/>
          <w:szCs w:val="24"/>
          <w:highlight w:val="none"/>
          <w:lang w:val="en-US" w:eastAsia="zh-CN"/>
        </w:rPr>
        <w:t>11</w:t>
      </w:r>
      <w:r>
        <w:rPr>
          <w:rFonts w:hint="eastAsia" w:ascii="黑体" w:hAnsi="黑体" w:eastAsia="黑体" w:cs="黑体"/>
          <w:b/>
          <w:bCs/>
          <w:sz w:val="24"/>
          <w:szCs w:val="24"/>
          <w:highlight w:val="none"/>
        </w:rPr>
        <w:t>时00分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马老师</w:t>
      </w:r>
      <w:r>
        <w:rPr>
          <w:rFonts w:hint="eastAsia" w:ascii="黑体" w:hAnsi="黑体" w:eastAsia="黑体" w:cs="黑体"/>
          <w:b/>
          <w:bCs/>
          <w:kern w:val="2"/>
          <w:sz w:val="24"/>
          <w:szCs w:val="24"/>
          <w:lang w:val="en-US" w:eastAsia="zh-CN"/>
        </w:rPr>
        <w:t>15262795019</w:t>
      </w:r>
    </w:p>
    <w:p>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马</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15262795019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宋体" w:hAnsi="宋体" w:eastAsia="宋体" w:cs="宋体"/>
          <w:kern w:val="2"/>
          <w:sz w:val="24"/>
          <w:szCs w:val="24"/>
          <w:lang w:val="en-US"/>
        </w:rPr>
      </w:pPr>
      <w:r>
        <w:rPr>
          <w:rFonts w:hint="eastAsia" w:ascii="黑体" w:hAnsi="黑体" w:eastAsia="黑体" w:cs="黑体"/>
          <w:b/>
          <w:bCs/>
          <w:kern w:val="2"/>
          <w:sz w:val="24"/>
          <w:szCs w:val="24"/>
          <w:lang w:val="en-US" w:eastAsia="zh-CN"/>
        </w:rPr>
        <w:t>技术咨询：邓老师 13912280669</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监督电话：蔡老师0513-85301108</w:t>
      </w:r>
      <w:r>
        <w:rPr>
          <w:rFonts w:hint="eastAsia" w:ascii="宋体" w:hAnsi="宋体" w:eastAsia="宋体" w:cs="宋体"/>
          <w:kern w:val="2"/>
          <w:sz w:val="24"/>
          <w:szCs w:val="24"/>
          <w:lang w:val="en-US" w:eastAsia="zh-CN"/>
        </w:rPr>
        <w:t xml:space="preserve"> 18068181066</w:t>
      </w:r>
      <w:r>
        <w:rPr>
          <w:rFonts w:hint="eastAsia" w:ascii="宋体" w:hAnsi="宋体" w:eastAsia="宋体" w:cs="宋体"/>
          <w:kern w:val="2"/>
          <w:sz w:val="24"/>
          <w:szCs w:val="24"/>
        </w:rPr>
        <w:t xml:space="preserve"> </w:t>
      </w:r>
    </w:p>
    <w:p>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pPr>
        <w:snapToGrid w:val="0"/>
        <w:spacing w:line="360" w:lineRule="exact"/>
        <w:ind w:firstLine="482" w:firstLineChars="200"/>
        <w:rPr>
          <w:rFonts w:ascii="宋体" w:hAnsi="宋体" w:cs="宋体"/>
          <w:b/>
          <w:sz w:val="24"/>
        </w:rPr>
      </w:pPr>
    </w:p>
    <w:p>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pPr>
        <w:spacing w:line="440" w:lineRule="exact"/>
        <w:rPr>
          <w:rFonts w:ascii="宋体" w:hAnsi="宋体"/>
          <w:b/>
          <w:bCs/>
          <w:sz w:val="30"/>
          <w:szCs w:val="30"/>
        </w:rPr>
      </w:pPr>
    </w:p>
    <w:p>
      <w:pPr>
        <w:pStyle w:val="20"/>
        <w:rPr>
          <w:rFonts w:ascii="宋体" w:hAnsi="宋体"/>
          <w:b/>
          <w:bCs/>
          <w:sz w:val="30"/>
          <w:szCs w:val="30"/>
        </w:rPr>
      </w:pPr>
    </w:p>
    <w:p>
      <w:pPr>
        <w:pStyle w:val="14"/>
        <w:ind w:left="0" w:leftChars="0" w:firstLine="0" w:firstLineChars="0"/>
        <w:rPr>
          <w:rFonts w:hint="eastAsia"/>
          <w:b/>
          <w:bCs/>
          <w:sz w:val="32"/>
          <w:szCs w:val="32"/>
        </w:rPr>
      </w:pPr>
    </w:p>
    <w:p>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pPr>
        <w:spacing w:line="360" w:lineRule="auto"/>
        <w:rPr>
          <w:b/>
          <w:sz w:val="24"/>
        </w:rPr>
      </w:pPr>
      <w:r>
        <w:rPr>
          <w:rFonts w:hint="eastAsia"/>
          <w:b/>
          <w:sz w:val="24"/>
        </w:rPr>
        <w:t>一、招标文件</w:t>
      </w:r>
    </w:p>
    <w:p>
      <w:pPr>
        <w:spacing w:line="360" w:lineRule="auto"/>
        <w:ind w:firstLine="482" w:firstLineChars="200"/>
        <w:rPr>
          <w:b/>
          <w:sz w:val="24"/>
        </w:rPr>
      </w:pPr>
      <w:r>
        <w:rPr>
          <w:b/>
          <w:sz w:val="24"/>
        </w:rPr>
        <w:t xml:space="preserve">1.1. </w:t>
      </w:r>
      <w:r>
        <w:rPr>
          <w:rFonts w:hint="eastAsia"/>
          <w:sz w:val="24"/>
        </w:rPr>
        <w:t>名词定义</w:t>
      </w:r>
    </w:p>
    <w:p>
      <w:pPr>
        <w:spacing w:line="360" w:lineRule="auto"/>
        <w:ind w:firstLine="480" w:firstLineChars="200"/>
        <w:rPr>
          <w:sz w:val="24"/>
        </w:rPr>
      </w:pPr>
      <w:r>
        <w:rPr>
          <w:rFonts w:hint="eastAsia"/>
          <w:sz w:val="24"/>
        </w:rPr>
        <w:t>本招标文件中的招标人、投标人、中标人分别指：</w:t>
      </w:r>
    </w:p>
    <w:p>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pPr>
        <w:spacing w:line="360" w:lineRule="auto"/>
        <w:ind w:firstLine="482" w:firstLineChars="200"/>
        <w:rPr>
          <w:b/>
          <w:sz w:val="24"/>
        </w:rPr>
      </w:pPr>
      <w:r>
        <w:rPr>
          <w:b/>
          <w:sz w:val="24"/>
        </w:rPr>
        <w:t xml:space="preserve">1.2. </w:t>
      </w:r>
      <w:r>
        <w:rPr>
          <w:rFonts w:hint="eastAsia"/>
          <w:sz w:val="24"/>
        </w:rPr>
        <w:t>招标文件的组成</w:t>
      </w:r>
    </w:p>
    <w:p>
      <w:pPr>
        <w:spacing w:line="360" w:lineRule="auto"/>
        <w:ind w:firstLine="480" w:firstLineChars="200"/>
        <w:rPr>
          <w:sz w:val="24"/>
        </w:rPr>
      </w:pPr>
      <w:r>
        <w:rPr>
          <w:rFonts w:hint="eastAsia"/>
          <w:sz w:val="24"/>
        </w:rPr>
        <w:t>本招标文件由下列部分组成：</w:t>
      </w:r>
    </w:p>
    <w:p>
      <w:pPr>
        <w:spacing w:line="360" w:lineRule="auto"/>
        <w:ind w:firstLine="480" w:firstLineChars="200"/>
        <w:rPr>
          <w:sz w:val="24"/>
        </w:rPr>
      </w:pPr>
      <w:r>
        <w:rPr>
          <w:rFonts w:hint="eastAsia"/>
          <w:sz w:val="24"/>
        </w:rPr>
        <w:t>（</w:t>
      </w:r>
      <w:r>
        <w:rPr>
          <w:sz w:val="24"/>
        </w:rPr>
        <w:t>1</w:t>
      </w:r>
      <w:r>
        <w:rPr>
          <w:rFonts w:hint="eastAsia"/>
          <w:sz w:val="24"/>
        </w:rPr>
        <w:t>）采购公告</w:t>
      </w:r>
    </w:p>
    <w:p>
      <w:pPr>
        <w:spacing w:line="360" w:lineRule="auto"/>
        <w:ind w:firstLine="480" w:firstLineChars="200"/>
        <w:rPr>
          <w:sz w:val="24"/>
        </w:rPr>
      </w:pPr>
      <w:r>
        <w:rPr>
          <w:rFonts w:hint="eastAsia"/>
          <w:sz w:val="24"/>
        </w:rPr>
        <w:t>（</w:t>
      </w:r>
      <w:r>
        <w:rPr>
          <w:sz w:val="24"/>
        </w:rPr>
        <w:t>2</w:t>
      </w:r>
      <w:r>
        <w:rPr>
          <w:rFonts w:hint="eastAsia"/>
          <w:sz w:val="24"/>
        </w:rPr>
        <w:t>）投标人须知</w:t>
      </w:r>
    </w:p>
    <w:p>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pPr>
        <w:spacing w:line="360" w:lineRule="auto"/>
        <w:ind w:firstLine="482" w:firstLineChars="200"/>
        <w:rPr>
          <w:b/>
          <w:sz w:val="24"/>
        </w:rPr>
      </w:pPr>
      <w:r>
        <w:rPr>
          <w:b/>
          <w:sz w:val="24"/>
        </w:rPr>
        <w:t xml:space="preserve">1.3. </w:t>
      </w:r>
      <w:r>
        <w:rPr>
          <w:rFonts w:hint="eastAsia"/>
          <w:sz w:val="24"/>
        </w:rPr>
        <w:t>招标文件的澄清</w:t>
      </w:r>
    </w:p>
    <w:p>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pPr>
        <w:spacing w:line="360" w:lineRule="auto"/>
        <w:ind w:firstLine="482" w:firstLineChars="200"/>
        <w:rPr>
          <w:b/>
          <w:sz w:val="24"/>
        </w:rPr>
      </w:pPr>
      <w:r>
        <w:rPr>
          <w:b/>
          <w:sz w:val="24"/>
        </w:rPr>
        <w:t xml:space="preserve">1.4. </w:t>
      </w:r>
      <w:r>
        <w:rPr>
          <w:rFonts w:hint="eastAsia"/>
          <w:sz w:val="24"/>
        </w:rPr>
        <w:t>招标文件的补充和修改</w:t>
      </w:r>
    </w:p>
    <w:p>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pPr>
        <w:spacing w:line="360" w:lineRule="auto"/>
        <w:rPr>
          <w:b/>
          <w:sz w:val="24"/>
        </w:rPr>
      </w:pPr>
      <w:r>
        <w:rPr>
          <w:rFonts w:hint="eastAsia"/>
          <w:b/>
          <w:sz w:val="24"/>
        </w:rPr>
        <w:t>二、投标文件</w:t>
      </w:r>
    </w:p>
    <w:p>
      <w:pPr>
        <w:spacing w:line="360" w:lineRule="auto"/>
        <w:ind w:firstLine="482" w:firstLineChars="200"/>
        <w:rPr>
          <w:sz w:val="24"/>
        </w:rPr>
      </w:pPr>
      <w:r>
        <w:rPr>
          <w:b/>
          <w:sz w:val="24"/>
        </w:rPr>
        <w:t xml:space="preserve">2.1. </w:t>
      </w:r>
      <w:r>
        <w:rPr>
          <w:rFonts w:hint="eastAsia"/>
          <w:sz w:val="24"/>
        </w:rPr>
        <w:t>投标文件的语言</w:t>
      </w:r>
    </w:p>
    <w:p>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pPr>
        <w:spacing w:line="360" w:lineRule="auto"/>
        <w:ind w:firstLine="482" w:firstLineChars="200"/>
        <w:rPr>
          <w:sz w:val="24"/>
        </w:rPr>
      </w:pPr>
      <w:r>
        <w:rPr>
          <w:b/>
          <w:sz w:val="24"/>
        </w:rPr>
        <w:t xml:space="preserve">2.2. </w:t>
      </w:r>
      <w:r>
        <w:rPr>
          <w:rFonts w:hint="eastAsia"/>
          <w:sz w:val="24"/>
        </w:rPr>
        <w:t>投标文件的组成</w:t>
      </w:r>
    </w:p>
    <w:p>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pPr>
        <w:spacing w:line="360" w:lineRule="auto"/>
        <w:ind w:firstLine="480" w:firstLineChars="200"/>
        <w:rPr>
          <w:rFonts w:hint="eastAsia"/>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上述所有原件均应为有效的原件，所有材料复印件均为有效的原件的复印件并加盖投标人单</w:t>
      </w:r>
    </w:p>
    <w:p>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位公章且清晰可见（原件备查），否则引起的后果由投标人自负。</w:t>
      </w:r>
    </w:p>
    <w:p>
      <w:pPr>
        <w:spacing w:line="360" w:lineRule="auto"/>
        <w:ind w:firstLine="590" w:firstLineChars="245"/>
        <w:rPr>
          <w:b/>
          <w:sz w:val="24"/>
        </w:rPr>
      </w:pPr>
      <w:r>
        <w:rPr>
          <w:b/>
          <w:sz w:val="24"/>
        </w:rPr>
        <w:t xml:space="preserve">2.3. </w:t>
      </w:r>
      <w:r>
        <w:rPr>
          <w:rFonts w:hint="eastAsia"/>
          <w:sz w:val="24"/>
        </w:rPr>
        <w:t>投标文件的形式及签署</w:t>
      </w:r>
    </w:p>
    <w:p>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pPr>
        <w:spacing w:line="360" w:lineRule="auto"/>
        <w:ind w:firstLine="960" w:firstLineChars="400"/>
        <w:rPr>
          <w:b/>
          <w:sz w:val="24"/>
        </w:rPr>
      </w:pPr>
      <w:r>
        <w:rPr>
          <w:rFonts w:hint="eastAsia"/>
          <w:sz w:val="24"/>
        </w:rPr>
        <w:t>（</w:t>
      </w:r>
      <w:r>
        <w:rPr>
          <w:sz w:val="24"/>
        </w:rPr>
        <w:t>6</w:t>
      </w:r>
      <w:r>
        <w:rPr>
          <w:rFonts w:hint="eastAsia"/>
          <w:sz w:val="24"/>
        </w:rPr>
        <w:t>）开标之前不得启封</w:t>
      </w:r>
    </w:p>
    <w:p>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pPr>
        <w:spacing w:line="360" w:lineRule="auto"/>
        <w:rPr>
          <w:b/>
          <w:sz w:val="24"/>
        </w:rPr>
      </w:pPr>
      <w:r>
        <w:rPr>
          <w:rFonts w:hint="eastAsia"/>
          <w:b/>
          <w:sz w:val="24"/>
        </w:rPr>
        <w:t>三、投标细则</w:t>
      </w:r>
    </w:p>
    <w:p>
      <w:pPr>
        <w:spacing w:line="360" w:lineRule="auto"/>
        <w:ind w:firstLine="472" w:firstLineChars="196"/>
        <w:rPr>
          <w:b/>
          <w:sz w:val="24"/>
        </w:rPr>
      </w:pPr>
      <w:r>
        <w:rPr>
          <w:b/>
          <w:sz w:val="24"/>
        </w:rPr>
        <w:t xml:space="preserve">3.1. </w:t>
      </w:r>
      <w:r>
        <w:rPr>
          <w:rFonts w:hint="eastAsia"/>
          <w:sz w:val="24"/>
        </w:rPr>
        <w:t>投标货物</w:t>
      </w:r>
    </w:p>
    <w:p>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pPr>
        <w:spacing w:line="360" w:lineRule="auto"/>
        <w:ind w:firstLine="472" w:firstLineChars="196"/>
        <w:rPr>
          <w:b/>
          <w:sz w:val="24"/>
        </w:rPr>
      </w:pPr>
      <w:r>
        <w:rPr>
          <w:b/>
          <w:sz w:val="24"/>
        </w:rPr>
        <w:t xml:space="preserve">3.2. </w:t>
      </w:r>
      <w:r>
        <w:rPr>
          <w:rFonts w:hint="eastAsia"/>
          <w:sz w:val="24"/>
        </w:rPr>
        <w:t>投标报价</w:t>
      </w:r>
    </w:p>
    <w:p>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设备（软件）、材料（含辅材）、</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w:t>
      </w:r>
      <w:r>
        <w:rPr>
          <w:rFonts w:hint="eastAsia"/>
          <w:sz w:val="24"/>
          <w:lang w:val="en-US" w:eastAsia="zh-CN"/>
        </w:rPr>
        <w:t>软件</w:t>
      </w:r>
      <w:r>
        <w:rPr>
          <w:rFonts w:hint="eastAsia"/>
          <w:sz w:val="24"/>
          <w:lang w:eastAsia="zh-CN"/>
        </w:rPr>
        <w:t>）的购置费用、运输费用、售后服务费用以及各种税务费用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其中设备类税率为13%，软件和服务类税率6%</w:t>
      </w:r>
      <w:r>
        <w:rPr>
          <w:rFonts w:hint="eastAsia" w:ascii="黑体" w:hAnsi="黑体" w:eastAsia="黑体" w:cs="黑体"/>
          <w:b/>
          <w:bCs/>
          <w:sz w:val="24"/>
          <w:lang w:eastAsia="zh-CN"/>
        </w:rPr>
        <w:t>）</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pPr>
        <w:spacing w:line="360" w:lineRule="auto"/>
        <w:ind w:firstLine="482" w:firstLineChars="200"/>
        <w:rPr>
          <w:b/>
          <w:sz w:val="24"/>
        </w:rPr>
      </w:pPr>
      <w:r>
        <w:rPr>
          <w:b/>
          <w:sz w:val="24"/>
        </w:rPr>
        <w:t xml:space="preserve">3.3. </w:t>
      </w:r>
      <w:r>
        <w:rPr>
          <w:rFonts w:hint="eastAsia"/>
          <w:sz w:val="24"/>
        </w:rPr>
        <w:t>投标文件的递交</w:t>
      </w:r>
    </w:p>
    <w:p>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pPr>
        <w:spacing w:line="353" w:lineRule="auto"/>
        <w:ind w:firstLine="480" w:firstLineChars="200"/>
        <w:rPr>
          <w:sz w:val="24"/>
        </w:rPr>
      </w:pPr>
      <w:r>
        <w:rPr>
          <w:rFonts w:hint="eastAsia"/>
          <w:sz w:val="24"/>
        </w:rPr>
        <w:t>（</w:t>
      </w:r>
      <w:r>
        <w:rPr>
          <w:sz w:val="24"/>
        </w:rPr>
        <w:t>1</w:t>
      </w:r>
      <w:r>
        <w:rPr>
          <w:rFonts w:hint="eastAsia"/>
          <w:sz w:val="24"/>
        </w:rPr>
        <w:t>）超出经营范围投标的；</w:t>
      </w:r>
    </w:p>
    <w:p>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pPr>
        <w:spacing w:line="353" w:lineRule="auto"/>
        <w:ind w:firstLine="480" w:firstLineChars="200"/>
        <w:rPr>
          <w:sz w:val="24"/>
        </w:rPr>
      </w:pPr>
      <w:r>
        <w:rPr>
          <w:rFonts w:hint="eastAsia"/>
          <w:sz w:val="24"/>
        </w:rPr>
        <w:t>（</w:t>
      </w:r>
      <w:r>
        <w:rPr>
          <w:sz w:val="24"/>
        </w:rPr>
        <w:t>4</w:t>
      </w:r>
      <w:r>
        <w:rPr>
          <w:rFonts w:hint="eastAsia"/>
          <w:sz w:val="24"/>
        </w:rPr>
        <w:t>）投标有效期不足的；</w:t>
      </w:r>
    </w:p>
    <w:p>
      <w:pPr>
        <w:spacing w:line="353" w:lineRule="auto"/>
        <w:ind w:firstLine="480" w:firstLineChars="200"/>
        <w:rPr>
          <w:sz w:val="24"/>
        </w:rPr>
      </w:pPr>
      <w:r>
        <w:rPr>
          <w:rFonts w:hint="eastAsia"/>
          <w:sz w:val="24"/>
        </w:rPr>
        <w:t>（5）投标报价不合理明显低于成本的；</w:t>
      </w:r>
    </w:p>
    <w:p>
      <w:pPr>
        <w:spacing w:line="353" w:lineRule="auto"/>
        <w:ind w:firstLine="480" w:firstLineChars="200"/>
        <w:rPr>
          <w:sz w:val="24"/>
        </w:rPr>
      </w:pPr>
      <w:r>
        <w:rPr>
          <w:rFonts w:hint="eastAsia"/>
          <w:sz w:val="24"/>
        </w:rPr>
        <w:t>（6）重要技术指标和参数不满足招标要求的；</w:t>
      </w:r>
    </w:p>
    <w:p>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pPr>
        <w:spacing w:line="353" w:lineRule="auto"/>
        <w:ind w:firstLine="480" w:firstLineChars="200"/>
        <w:rPr>
          <w:sz w:val="24"/>
        </w:rPr>
      </w:pPr>
      <w:r>
        <w:rPr>
          <w:rFonts w:hint="eastAsia"/>
          <w:sz w:val="24"/>
        </w:rPr>
        <w:t>（8）未对招标文件实质性要求和条件做出响应的；</w:t>
      </w:r>
    </w:p>
    <w:p>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pPr>
        <w:spacing w:line="353" w:lineRule="auto"/>
        <w:ind w:firstLine="480" w:firstLineChars="200"/>
        <w:rPr>
          <w:sz w:val="24"/>
        </w:rPr>
      </w:pPr>
      <w:r>
        <w:rPr>
          <w:rFonts w:hint="eastAsia"/>
          <w:sz w:val="24"/>
        </w:rPr>
        <w:t>（11）不同投标人的投标文件由同一单位或者个人编制；</w:t>
      </w:r>
    </w:p>
    <w:p>
      <w:pPr>
        <w:spacing w:line="353" w:lineRule="auto"/>
        <w:ind w:firstLine="480" w:firstLineChars="200"/>
        <w:rPr>
          <w:sz w:val="24"/>
        </w:rPr>
      </w:pPr>
      <w:r>
        <w:rPr>
          <w:rFonts w:hint="eastAsia"/>
          <w:sz w:val="24"/>
        </w:rPr>
        <w:t>（12）不同投标人委托同一单位或者个人办理投标事宜；</w:t>
      </w:r>
    </w:p>
    <w:p>
      <w:pPr>
        <w:spacing w:line="353" w:lineRule="auto"/>
        <w:ind w:firstLine="480" w:firstLineChars="200"/>
        <w:rPr>
          <w:sz w:val="24"/>
        </w:rPr>
      </w:pPr>
      <w:r>
        <w:rPr>
          <w:rFonts w:hint="eastAsia"/>
          <w:sz w:val="24"/>
        </w:rPr>
        <w:t>（13）不同投标人的投标文件载明的项目管理成员或者联系人员为同一人；</w:t>
      </w:r>
    </w:p>
    <w:p>
      <w:pPr>
        <w:spacing w:line="353" w:lineRule="auto"/>
        <w:ind w:firstLine="480" w:firstLineChars="200"/>
        <w:rPr>
          <w:sz w:val="24"/>
        </w:rPr>
      </w:pPr>
      <w:r>
        <w:rPr>
          <w:rFonts w:hint="eastAsia"/>
          <w:sz w:val="24"/>
        </w:rPr>
        <w:t>（14）不同投标人的投标文件异常一致或者投标报价呈规律性差异；</w:t>
      </w:r>
    </w:p>
    <w:p>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pPr>
        <w:spacing w:line="360" w:lineRule="auto"/>
        <w:ind w:firstLine="480" w:firstLineChars="200"/>
        <w:rPr>
          <w:rFonts w:hint="eastAsia"/>
          <w:sz w:val="24"/>
        </w:rPr>
      </w:pPr>
      <w:r>
        <w:rPr>
          <w:rFonts w:hint="eastAsia"/>
          <w:sz w:val="24"/>
        </w:rPr>
        <w:t>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pPr>
        <w:spacing w:line="353" w:lineRule="auto"/>
        <w:ind w:firstLine="482" w:firstLineChars="200"/>
        <w:rPr>
          <w:b/>
          <w:sz w:val="24"/>
        </w:rPr>
      </w:pPr>
      <w:r>
        <w:rPr>
          <w:rFonts w:hint="eastAsia"/>
          <w:b/>
          <w:sz w:val="24"/>
        </w:rPr>
        <w:t>五、评标方法及评分标准</w:t>
      </w:r>
    </w:p>
    <w:p>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pPr>
        <w:spacing w:line="353" w:lineRule="auto"/>
        <w:ind w:firstLine="480" w:firstLineChars="200"/>
        <w:rPr>
          <w:rFonts w:hint="eastAsia"/>
          <w:sz w:val="24"/>
        </w:rPr>
      </w:pPr>
      <w:r>
        <w:rPr>
          <w:rFonts w:hint="eastAsia"/>
          <w:sz w:val="24"/>
        </w:rPr>
        <w:t>（1）公开招标程序：资格审查→资格符合性评审→技术标评审→商务标开标→确定中标</w:t>
      </w:r>
    </w:p>
    <w:p>
      <w:pPr>
        <w:spacing w:line="353" w:lineRule="auto"/>
        <w:rPr>
          <w:rFonts w:hint="eastAsia"/>
          <w:sz w:val="24"/>
        </w:rPr>
      </w:pPr>
      <w:r>
        <w:rPr>
          <w:rFonts w:hint="eastAsia"/>
          <w:sz w:val="24"/>
        </w:rPr>
        <w:t>候选人</w:t>
      </w:r>
    </w:p>
    <w:p>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pPr>
        <w:spacing w:line="360" w:lineRule="auto"/>
        <w:ind w:firstLine="482" w:firstLineChars="200"/>
        <w:rPr>
          <w:rFonts w:hint="eastAsia" w:ascii="黑体" w:eastAsia="黑体"/>
          <w:b/>
          <w:sz w:val="24"/>
        </w:rPr>
        <w:sectPr>
          <w:footerReference r:id="rId3" w:type="default"/>
          <w:pgSz w:w="11907" w:h="16839"/>
          <w:pgMar w:top="1428" w:right="869" w:bottom="1357" w:left="1087" w:header="0" w:footer="1197" w:gutter="0"/>
          <w:pgNumType w:fmt="decimal"/>
          <w:cols w:space="720" w:num="1"/>
        </w:sectPr>
      </w:pPr>
    </w:p>
    <w:p>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45</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满足招标文件要求且投标总价格最低的投标报价为评标基准价，其价格分为满分，其他投标人的价格分按下列公式计算：</w:t>
            </w:r>
          </w:p>
          <w:p>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40</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szCs w:val="21"/>
              </w:rPr>
            </w:pPr>
            <w:r>
              <w:rPr>
                <w:rFonts w:hint="eastAsia"/>
                <w:szCs w:val="21"/>
              </w:rPr>
              <w:t>根据供应商的技术指标对招标文件的偏离度进行打分，具体由评委根据供应商的投标文件中《技术规格响应/偏离表》及相关证明资料评审。符合招标文件基本要求的得基准分</w:t>
            </w:r>
            <w:r>
              <w:rPr>
                <w:rFonts w:hint="eastAsia"/>
                <w:szCs w:val="21"/>
                <w:lang w:val="en-US" w:eastAsia="zh-CN"/>
              </w:rPr>
              <w:t>30</w:t>
            </w:r>
            <w:r>
              <w:rPr>
                <w:rFonts w:hint="eastAsia"/>
                <w:szCs w:val="21"/>
              </w:rPr>
              <w:t>分。指标有一项负偏离扣2分，扣完为止。</w:t>
            </w:r>
          </w:p>
          <w:p>
            <w:pPr>
              <w:pStyle w:val="14"/>
              <w:spacing w:after="0" w:line="240" w:lineRule="auto"/>
              <w:ind w:firstLine="211"/>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p>
            <w:pPr>
              <w:pStyle w:val="14"/>
              <w:spacing w:after="0" w:line="360" w:lineRule="auto"/>
              <w:ind w:firstLine="211"/>
              <w:rPr>
                <w:rFonts w:hint="eastAsia" w:ascii="Times New Roman" w:hAnsi="Times New Roman" w:eastAsia="宋体" w:cs="Times New Roman"/>
                <w:b/>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zh-CN"/>
              </w:rPr>
              <w:t>3</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服务</w:t>
            </w:r>
            <w:r>
              <w:rPr>
                <w:rFonts w:hint="eastAsia" w:ascii="宋体" w:hAnsi="宋体" w:eastAsia="宋体" w:cs="宋体"/>
                <w:color w:val="000000" w:themeColor="text1"/>
                <w:sz w:val="21"/>
                <w:szCs w:val="21"/>
                <w:lang w:val="zh-TW" w:eastAsia="zh-TW"/>
                <w14:textFill>
                  <w14:solidFill>
                    <w14:schemeClr w14:val="tx1"/>
                  </w14:solidFill>
                </w14:textFill>
              </w:rPr>
              <w:t>承诺</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4049"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b/>
                <w:bCs/>
                <w:szCs w:val="21"/>
                <w:lang w:val="en-US" w:eastAsia="zh-CN"/>
              </w:rPr>
              <w:t>工期</w:t>
            </w:r>
            <w:r>
              <w:rPr>
                <w:rFonts w:hint="eastAsia"/>
                <w:szCs w:val="21"/>
                <w:lang w:val="zh-TW" w:eastAsia="zh-TW"/>
              </w:rPr>
              <w:t>等服务承诺进行评分，优得</w:t>
            </w:r>
            <w:r>
              <w:rPr>
                <w:rFonts w:hint="eastAsia"/>
                <w:szCs w:val="21"/>
                <w:lang w:val="en-US" w:eastAsia="zh-CN"/>
              </w:rPr>
              <w:t>7</w:t>
            </w:r>
            <w:r>
              <w:rPr>
                <w:rFonts w:hint="eastAsia"/>
                <w:szCs w:val="21"/>
                <w:lang w:val="zh-TW" w:eastAsia="zh-TW"/>
              </w:rPr>
              <w:t>分，良得</w:t>
            </w:r>
            <w:r>
              <w:rPr>
                <w:rFonts w:hint="eastAsia"/>
                <w:szCs w:val="21"/>
                <w:lang w:val="en-US" w:eastAsia="zh-CN"/>
              </w:rPr>
              <w:t>5</w:t>
            </w:r>
            <w:r>
              <w:rPr>
                <w:rFonts w:hint="eastAsia"/>
                <w:szCs w:val="21"/>
                <w:lang w:val="zh-TW" w:eastAsia="zh-TW"/>
              </w:rPr>
              <w:t>分，一般得</w:t>
            </w:r>
            <w:r>
              <w:rPr>
                <w:rFonts w:hint="eastAsia"/>
                <w:szCs w:val="21"/>
                <w:lang w:val="en-US" w:eastAsia="zh-CN"/>
              </w:rPr>
              <w:t>3</w:t>
            </w:r>
            <w:r>
              <w:rPr>
                <w:rFonts w:hint="eastAsia"/>
                <w:szCs w:val="21"/>
                <w:lang w:val="zh-TW" w:eastAsia="zh-TW"/>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pPr>
              <w:tabs>
                <w:tab w:val="left" w:pos="94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pPr>
        <w:spacing w:line="353" w:lineRule="auto"/>
        <w:ind w:firstLine="482" w:firstLineChars="200"/>
        <w:rPr>
          <w:rFonts w:hint="eastAsia"/>
          <w:b/>
          <w:sz w:val="24"/>
        </w:rPr>
      </w:pPr>
      <w:bookmarkStart w:id="0" w:name="_Toc149568598"/>
      <w:r>
        <w:rPr>
          <w:rFonts w:hint="eastAsia"/>
          <w:b/>
          <w:sz w:val="24"/>
        </w:rPr>
        <w:t>六、定标</w:t>
      </w:r>
      <w:bookmarkEnd w:id="0"/>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pPr>
        <w:spacing w:line="353" w:lineRule="auto"/>
        <w:ind w:firstLine="482" w:firstLineChars="200"/>
        <w:rPr>
          <w:rFonts w:hint="eastAsia"/>
          <w:b/>
          <w:sz w:val="24"/>
        </w:rPr>
      </w:pPr>
      <w:bookmarkStart w:id="1" w:name="_Toc149568599"/>
      <w:r>
        <w:rPr>
          <w:rFonts w:hint="eastAsia"/>
          <w:b/>
          <w:sz w:val="24"/>
        </w:rPr>
        <w:t>七、质量履约保证金</w:t>
      </w:r>
      <w:bookmarkEnd w:id="1"/>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pPr>
        <w:spacing w:line="353" w:lineRule="auto"/>
        <w:ind w:firstLine="482" w:firstLineChars="200"/>
        <w:rPr>
          <w:rFonts w:hint="eastAsia"/>
          <w:b/>
          <w:sz w:val="24"/>
        </w:rPr>
      </w:pPr>
      <w:bookmarkStart w:id="3" w:name="_Toc149568601"/>
      <w:r>
        <w:rPr>
          <w:rFonts w:hint="eastAsia"/>
          <w:b/>
          <w:sz w:val="24"/>
        </w:rPr>
        <w:t>九、其他</w:t>
      </w:r>
      <w:bookmarkEnd w:id="3"/>
    </w:p>
    <w:p>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pPr>
        <w:spacing w:line="353" w:lineRule="auto"/>
        <w:ind w:firstLine="482" w:firstLineChars="200"/>
        <w:rPr>
          <w:rFonts w:hint="eastAsia"/>
          <w:b/>
          <w:sz w:val="24"/>
        </w:rPr>
      </w:pPr>
      <w:r>
        <w:rPr>
          <w:rFonts w:hint="eastAsia"/>
          <w:b/>
          <w:sz w:val="24"/>
        </w:rPr>
        <w:t>一、货物需求一览表</w:t>
      </w:r>
    </w:p>
    <w:p>
      <w:pPr>
        <w:spacing w:line="360" w:lineRule="auto"/>
        <w:ind w:firstLine="480" w:firstLineChars="200"/>
        <w:rPr>
          <w:rFonts w:hint="default"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pPr>
        <w:spacing w:line="353" w:lineRule="auto"/>
        <w:ind w:firstLine="482" w:firstLineChars="200"/>
        <w:rPr>
          <w:rFonts w:hint="eastAsia"/>
          <w:b/>
          <w:sz w:val="24"/>
          <w:lang w:val="en-US" w:eastAsia="zh-CN"/>
        </w:rPr>
      </w:pPr>
      <w:r>
        <w:rPr>
          <w:rFonts w:hint="eastAsia"/>
          <w:b/>
          <w:sz w:val="24"/>
          <w:lang w:val="en-US" w:eastAsia="zh-CN"/>
        </w:rPr>
        <w:t>三、参数说明</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投标方提供的设备（软件）可以优于上述参数，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应提供设备（软件）的</w:t>
      </w:r>
      <w:r>
        <w:rPr>
          <w:rFonts w:hint="eastAsia" w:ascii="宋体" w:hAnsi="宋体" w:cs="宋体"/>
          <w:color w:val="000000" w:themeColor="text1"/>
          <w:kern w:val="0"/>
          <w:sz w:val="24"/>
          <w14:textFill>
            <w14:solidFill>
              <w14:schemeClr w14:val="tx1"/>
            </w14:solidFill>
          </w14:textFill>
        </w:rPr>
        <w:t>品牌和具体型号。</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纯软件采购项目无此要求</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hint="default" w:ascii="黑体" w:eastAsia="黑体"/>
          <w:b/>
          <w:sz w:val="24"/>
          <w:lang w:val="en-US" w:eastAsia="zh-CN"/>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r>
        <w:rPr>
          <w:rFonts w:hint="eastAsia" w:ascii="黑体" w:eastAsia="黑体"/>
          <w:b/>
          <w:sz w:val="24"/>
          <w:lang w:val="en-US" w:eastAsia="zh-CN"/>
        </w:rPr>
        <w:t>本项目为“交钥匙”工程，线材、辅材数量请各投标单位现场勘查，一旦报价，后续不再增加任何费用。</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pPr>
        <w:spacing w:line="360" w:lineRule="auto"/>
        <w:ind w:firstLine="482" w:firstLineChars="200"/>
        <w:rPr>
          <w:rFonts w:hint="eastAsia" w:ascii="黑体" w:eastAsia="黑体"/>
          <w:b/>
          <w:sz w:val="24"/>
          <w:lang w:val="en-US" w:eastAsia="zh-CN"/>
        </w:rPr>
      </w:pPr>
      <w:r>
        <w:rPr>
          <w:rFonts w:hint="eastAsia" w:ascii="黑体" w:eastAsia="黑体"/>
          <w:b/>
          <w:sz w:val="24"/>
          <w:lang w:val="en-US" w:eastAsia="zh-CN"/>
        </w:rPr>
        <w:t>6.  投标配置必须与供货包装箱上配置保持一致，不得改配。</w:t>
      </w:r>
    </w:p>
    <w:p>
      <w:pPr>
        <w:spacing w:line="353" w:lineRule="auto"/>
        <w:ind w:firstLine="482" w:firstLineChars="200"/>
        <w:rPr>
          <w:rFonts w:hint="eastAsia"/>
          <w:b/>
          <w:sz w:val="24"/>
          <w:lang w:val="en-US" w:eastAsia="zh-CN"/>
        </w:rPr>
      </w:pPr>
      <w:r>
        <w:rPr>
          <w:rFonts w:hint="eastAsia"/>
          <w:b/>
          <w:sz w:val="24"/>
          <w:lang w:val="en-US" w:eastAsia="zh-CN"/>
        </w:rPr>
        <w:t>四、服务承诺</w:t>
      </w:r>
    </w:p>
    <w:p>
      <w:pPr>
        <w:spacing w:line="353" w:lineRule="auto"/>
        <w:ind w:firstLine="482" w:firstLineChars="200"/>
        <w:rPr>
          <w:rFonts w:hint="eastAsia"/>
          <w:sz w:val="24"/>
        </w:rPr>
      </w:pPr>
      <w:r>
        <w:rPr>
          <w:rFonts w:hint="eastAsia" w:ascii="黑体" w:eastAsia="黑体"/>
          <w:b/>
          <w:sz w:val="24"/>
          <w:lang w:val="en-US" w:eastAsia="zh-CN"/>
        </w:rPr>
        <w:t>1.  所有硬件设备（系统）提供 3 年以上免费人工、原厂部件</w:t>
      </w:r>
      <w:r>
        <w:rPr>
          <w:rFonts w:hint="eastAsia"/>
          <w:sz w:val="24"/>
        </w:rPr>
        <w:t>，7×24 小时响应。</w:t>
      </w:r>
    </w:p>
    <w:p>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项目必需的</w:t>
      </w:r>
      <w:r>
        <w:rPr>
          <w:rFonts w:hint="eastAsia"/>
          <w:sz w:val="24"/>
        </w:rPr>
        <w:t>各种软硬件培训。</w:t>
      </w:r>
    </w:p>
    <w:p>
      <w:pPr>
        <w:spacing w:line="353" w:lineRule="auto"/>
        <w:ind w:firstLine="480" w:firstLineChars="200"/>
        <w:rPr>
          <w:rFonts w:hint="eastAsia"/>
          <w:sz w:val="24"/>
        </w:rPr>
      </w:pPr>
      <w:r>
        <w:rPr>
          <w:rFonts w:hint="eastAsia"/>
          <w:sz w:val="24"/>
        </w:rPr>
        <w:t>5.  提供质保期后的现场服务报价。</w:t>
      </w:r>
    </w:p>
    <w:p>
      <w:pPr>
        <w:spacing w:line="353" w:lineRule="auto"/>
        <w:ind w:firstLine="480" w:firstLineChars="200"/>
        <w:rPr>
          <w:rFonts w:ascii="宋体" w:hAnsi="宋体" w:eastAsia="宋体" w:cs="宋体"/>
          <w:spacing w:val="-1"/>
          <w:sz w:val="21"/>
          <w:szCs w:val="21"/>
        </w:rPr>
      </w:pPr>
      <w:r>
        <w:rPr>
          <w:rFonts w:hint="eastAsia"/>
          <w:sz w:val="24"/>
          <w:lang w:val="en-US" w:eastAsia="zh-CN"/>
        </w:rPr>
        <w:t>6</w:t>
      </w:r>
      <w:r>
        <w:rPr>
          <w:rFonts w:hint="eastAsia"/>
          <w:sz w:val="24"/>
        </w:rPr>
        <w:t>.  中标人必须负责所采购设备</w:t>
      </w:r>
      <w:r>
        <w:rPr>
          <w:rFonts w:hint="eastAsia"/>
          <w:sz w:val="24"/>
          <w:lang w:eastAsia="zh-CN"/>
        </w:rPr>
        <w:t>（</w:t>
      </w:r>
      <w:r>
        <w:rPr>
          <w:rFonts w:hint="eastAsia"/>
          <w:sz w:val="24"/>
          <w:lang w:val="en-US" w:eastAsia="zh-CN"/>
        </w:rPr>
        <w:t>软件</w:t>
      </w:r>
      <w:r>
        <w:rPr>
          <w:rFonts w:hint="eastAsia"/>
          <w:sz w:val="24"/>
          <w:lang w:eastAsia="zh-CN"/>
        </w:rPr>
        <w:t>）</w:t>
      </w:r>
      <w:r>
        <w:rPr>
          <w:rFonts w:hint="eastAsia"/>
          <w:sz w:val="24"/>
        </w:rPr>
        <w:t>的运输，并负责进场卸货、安装、调试、检测， 合格交付使用，并提供标书要求年限的免费保修。</w:t>
      </w:r>
    </w:p>
    <w:p>
      <w:pPr>
        <w:spacing w:line="353" w:lineRule="auto"/>
        <w:ind w:firstLine="482" w:firstLineChars="200"/>
        <w:rPr>
          <w:rFonts w:hint="default"/>
          <w:b/>
          <w:sz w:val="24"/>
          <w:lang w:val="en-US" w:eastAsia="zh-CN"/>
        </w:rPr>
      </w:pPr>
      <w:r>
        <w:rPr>
          <w:rFonts w:hint="eastAsia"/>
          <w:b/>
          <w:sz w:val="24"/>
          <w:lang w:val="en-US" w:eastAsia="zh-CN"/>
        </w:rPr>
        <w:t>五、验收标准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4" w:type="default"/>
          <w:pgSz w:w="11907" w:h="16839"/>
          <w:pgMar w:top="1427" w:right="1073" w:bottom="1357" w:left="1084" w:header="0" w:footer="1197" w:gutter="0"/>
          <w:pgNumType w:fmt="decimal"/>
          <w:cols w:space="720" w:num="1"/>
        </w:sectPr>
      </w:pPr>
    </w:p>
    <w:p>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pPr>
        <w:spacing w:before="100" w:after="100"/>
        <w:ind w:firstLine="492" w:firstLineChars="200"/>
        <w:rPr>
          <w:rFonts w:hint="eastAsia" w:ascii="宋体" w:hAnsi="宋体" w:eastAsia="宋体" w:cs="宋体"/>
          <w:sz w:val="24"/>
          <w:szCs w:val="24"/>
        </w:rPr>
      </w:pP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5</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30</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日前</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。中标人必须派出足够的人员到施工现场，确保工期按时完成。并提供详细的安装调试计划及保证措施。</w:t>
      </w:r>
    </w:p>
    <w:p>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按原厂提供的要求保修。</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w:t>
      </w:r>
      <w:r>
        <w:rPr>
          <w:rFonts w:hint="eastAsia" w:ascii="宋体" w:hAnsi="宋体" w:cs="宋体"/>
          <w:sz w:val="24"/>
          <w:szCs w:val="24"/>
          <w:lang w:eastAsia="zh-CN"/>
        </w:rPr>
        <w:t>供的</w:t>
      </w:r>
      <w:r>
        <w:rPr>
          <w:rFonts w:hint="eastAsia" w:ascii="宋体" w:hAnsi="宋体" w:eastAsia="宋体" w:cs="宋体"/>
          <w:sz w:val="24"/>
          <w:szCs w:val="24"/>
        </w:rPr>
        <w:t>产品具有合法的版权或使用权，本项目采购的产品，如在本项目范围内使用过程中出现版权或使用权纠纷，应由中标人负责，招标人不承担责任。</w:t>
      </w:r>
    </w:p>
    <w:p>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资料如设备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说明书、系统设置与操作步骤等，应包含纸质资料与电子文档。项目所涉及的设备</w:t>
      </w:r>
      <w:r>
        <w:rPr>
          <w:rFonts w:hint="eastAsia" w:ascii="宋体" w:hAnsi="宋体" w:cs="宋体"/>
          <w:sz w:val="24"/>
          <w:szCs w:val="24"/>
          <w:lang w:eastAsia="zh-CN"/>
        </w:rPr>
        <w:t>（</w:t>
      </w:r>
      <w:r>
        <w:rPr>
          <w:rFonts w:hint="eastAsia" w:ascii="宋体" w:hAnsi="宋体" w:cs="宋体"/>
          <w:sz w:val="24"/>
          <w:szCs w:val="24"/>
          <w:lang w:val="en-US" w:eastAsia="zh-CN"/>
        </w:rPr>
        <w:t>软件</w:t>
      </w:r>
      <w:r>
        <w:rPr>
          <w:rFonts w:hint="eastAsia" w:ascii="宋体" w:hAnsi="宋体" w:cs="宋体"/>
          <w:sz w:val="24"/>
          <w:szCs w:val="24"/>
          <w:lang w:eastAsia="zh-CN"/>
        </w:rPr>
        <w:t>）</w:t>
      </w:r>
      <w:r>
        <w:rPr>
          <w:rFonts w:hint="eastAsia" w:ascii="宋体" w:hAnsi="宋体" w:eastAsia="宋体" w:cs="宋体"/>
          <w:sz w:val="24"/>
          <w:szCs w:val="24"/>
        </w:rPr>
        <w:t>及装修材料到货时，须提供原厂商的供货证明；</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w:t>
      </w:r>
      <w:r>
        <w:rPr>
          <w:rFonts w:hint="eastAsia" w:ascii="宋体" w:hAnsi="宋体" w:cs="宋体"/>
          <w:b w:val="0"/>
          <w:bCs w:val="0"/>
          <w:color w:val="auto"/>
          <w:sz w:val="24"/>
          <w:szCs w:val="24"/>
          <w:lang w:val="en-US" w:eastAsia="zh-CN"/>
        </w:rPr>
        <w:t>（系统）</w:t>
      </w:r>
      <w:r>
        <w:rPr>
          <w:rFonts w:hint="eastAsia" w:ascii="宋体" w:hAnsi="宋体" w:eastAsia="宋体" w:cs="宋体"/>
          <w:b w:val="0"/>
          <w:bCs w:val="0"/>
          <w:color w:val="auto"/>
          <w:sz w:val="24"/>
          <w:szCs w:val="24"/>
          <w:lang w:val="en-US" w:eastAsia="zh-CN"/>
        </w:rPr>
        <w:t>安装调试结束后，运行一个月后进行验收，验收合格一个月后一周内</w:t>
      </w:r>
      <w:r>
        <w:rPr>
          <w:rFonts w:hint="eastAsia" w:ascii="黑体" w:eastAsia="黑体"/>
          <w:b/>
          <w:sz w:val="24"/>
          <w:lang w:val="en-US" w:eastAsia="zh-CN"/>
        </w:rPr>
        <w:t>付至合同的95%</w:t>
      </w:r>
      <w:r>
        <w:rPr>
          <w:rFonts w:hint="eastAsia" w:ascii="宋体" w:hAnsi="宋体" w:eastAsia="宋体" w:cs="宋体"/>
          <w:b w:val="0"/>
          <w:bCs w:val="0"/>
          <w:color w:val="auto"/>
          <w:sz w:val="24"/>
          <w:szCs w:val="24"/>
          <w:lang w:val="en-US" w:eastAsia="zh-CN"/>
        </w:rPr>
        <w:t>，剩余尾款作为质保金，</w:t>
      </w:r>
      <w:r>
        <w:rPr>
          <w:rFonts w:hint="eastAsia" w:ascii="宋体" w:hAnsi="宋体" w:eastAsia="宋体" w:cs="宋体"/>
          <w:b/>
          <w:bCs/>
          <w:color w:val="auto"/>
          <w:sz w:val="24"/>
          <w:szCs w:val="24"/>
          <w:lang w:val="en-US" w:eastAsia="zh-CN"/>
        </w:rPr>
        <w:t>待验收合格</w:t>
      </w: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年后</w:t>
      </w:r>
      <w:r>
        <w:rPr>
          <w:rFonts w:hint="eastAsia" w:ascii="宋体" w:hAnsi="宋体" w:eastAsia="宋体" w:cs="宋体"/>
          <w:b w:val="0"/>
          <w:bCs w:val="0"/>
          <w:color w:val="auto"/>
          <w:sz w:val="24"/>
          <w:szCs w:val="24"/>
          <w:lang w:val="en-US" w:eastAsia="zh-CN"/>
        </w:rPr>
        <w:t>无重大质量问题后付清</w:t>
      </w:r>
      <w:r>
        <w:rPr>
          <w:rFonts w:hint="eastAsia" w:ascii="宋体" w:hAnsi="宋体" w:eastAsia="宋体" w:cs="宋体"/>
          <w:b w:val="0"/>
          <w:bCs w:val="0"/>
          <w:color w:val="auto"/>
          <w:sz w:val="24"/>
          <w:szCs w:val="24"/>
        </w:rPr>
        <w:t>。</w:t>
      </w:r>
    </w:p>
    <w:p>
      <w:pPr>
        <w:pStyle w:val="20"/>
        <w:rPr>
          <w:rFonts w:ascii="宋体" w:hAnsi="宋体" w:cs="宋体"/>
          <w:sz w:val="24"/>
        </w:rPr>
      </w:pPr>
      <w:bookmarkStart w:id="58" w:name="_GoBack"/>
      <w:bookmarkEnd w:id="58"/>
    </w:p>
    <w:p>
      <w:pPr>
        <w:rPr>
          <w:rFonts w:hint="eastAsia"/>
        </w:rPr>
      </w:pPr>
      <w:bookmarkStart w:id="4" w:name="_Toc34991461"/>
      <w:bookmarkStart w:id="5" w:name="_Toc12022"/>
      <w:bookmarkStart w:id="6" w:name="_Toc231276966"/>
      <w:bookmarkStart w:id="7" w:name="_Toc231282228"/>
      <w:bookmarkStart w:id="8" w:name="_Toc231279737"/>
      <w:bookmarkStart w:id="9" w:name="_Toc231281705"/>
      <w:bookmarkStart w:id="10" w:name="_Toc231281339"/>
      <w:bookmarkStart w:id="11" w:name="_Toc231304988"/>
      <w:bookmarkStart w:id="12" w:name="_Toc231279586"/>
      <w:bookmarkStart w:id="13" w:name="_Toc231289771"/>
      <w:bookmarkStart w:id="14" w:name="_Toc231280804"/>
      <w:bookmarkStart w:id="15" w:name="_Toc231279666"/>
      <w:bookmarkStart w:id="16" w:name="_Toc231284489"/>
      <w:bookmarkStart w:id="17" w:name="_Toc231279156"/>
      <w:bookmarkStart w:id="18" w:name="_Toc231289932"/>
      <w:bookmarkStart w:id="19" w:name="_Toc231279247"/>
      <w:bookmarkStart w:id="20" w:name="_Toc231289905"/>
      <w:bookmarkStart w:id="21" w:name="_Toc231280344"/>
      <w:bookmarkStart w:id="22" w:name="_Toc231305090"/>
      <w:bookmarkStart w:id="23" w:name="_Toc231280938"/>
      <w:bookmarkStart w:id="24" w:name="_Toc231286901"/>
    </w:p>
    <w:p>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pPr>
        <w:rPr>
          <w:rFonts w:hint="eastAsia"/>
        </w:rPr>
      </w:pP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tblPrEx>
          <w:tblCellMar>
            <w:top w:w="0" w:type="dxa"/>
            <w:left w:w="108" w:type="dxa"/>
            <w:bottom w:w="0" w:type="dxa"/>
            <w:right w:w="108" w:type="dxa"/>
          </w:tblCellMar>
        </w:tblPrEx>
        <w:trPr>
          <w:trHeight w:val="587" w:hRule="atLeast"/>
          <w:jc w:val="center"/>
        </w:trPr>
        <w:tc>
          <w:tcPr>
            <w:tcW w:w="2376" w:type="dxa"/>
            <w:noWrap w:val="0"/>
            <w:vAlign w:val="top"/>
          </w:tcPr>
          <w:p>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r>
        <w:tblPrEx>
          <w:tblCellMar>
            <w:top w:w="0" w:type="dxa"/>
            <w:left w:w="108" w:type="dxa"/>
            <w:bottom w:w="0" w:type="dxa"/>
            <w:right w:w="108" w:type="dxa"/>
          </w:tblCellMar>
        </w:tblPrEx>
        <w:trPr>
          <w:jc w:val="center"/>
        </w:trPr>
        <w:tc>
          <w:tcPr>
            <w:tcW w:w="2376" w:type="dxa"/>
            <w:noWrap w:val="0"/>
            <w:vAlign w:val="top"/>
          </w:tcPr>
          <w:p>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pPr>
              <w:spacing w:line="480" w:lineRule="auto"/>
              <w:rPr>
                <w:color w:val="000000"/>
                <w:sz w:val="24"/>
              </w:rPr>
            </w:pPr>
          </w:p>
        </w:tc>
      </w:tr>
    </w:tbl>
    <w:p>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pPr>
        <w:pStyle w:val="3"/>
        <w:rPr>
          <w:rFonts w:ascii="宋体" w:hAnsi="宋体"/>
          <w:b/>
          <w:bCs w:val="0"/>
          <w:color w:val="000000"/>
          <w:sz w:val="21"/>
          <w:szCs w:val="21"/>
        </w:rPr>
      </w:pPr>
      <w:bookmarkStart w:id="25" w:name="_Toc30593"/>
      <w:bookmarkStart w:id="26" w:name="_Toc34991462"/>
      <w:bookmarkStart w:id="27" w:name="_Toc231282231"/>
      <w:bookmarkStart w:id="28" w:name="_Toc231304991"/>
      <w:bookmarkStart w:id="29" w:name="_Toc231280347"/>
      <w:bookmarkStart w:id="30" w:name="_Toc231280941"/>
      <w:bookmarkStart w:id="31" w:name="_Toc231279589"/>
      <w:bookmarkStart w:id="32" w:name="_Toc231281708"/>
      <w:bookmarkStart w:id="33" w:name="_Toc231289774"/>
      <w:bookmarkStart w:id="34" w:name="_Toc231284492"/>
      <w:bookmarkStart w:id="35" w:name="_Toc231280807"/>
      <w:bookmarkStart w:id="36" w:name="_Toc407266082"/>
      <w:bookmarkStart w:id="37" w:name="_Toc231281342"/>
      <w:bookmarkStart w:id="38" w:name="_Toc231289908"/>
      <w:bookmarkStart w:id="39" w:name="_Toc231279669"/>
      <w:bookmarkStart w:id="40" w:name="_Toc231286904"/>
      <w:bookmarkStart w:id="41" w:name="_Toc231289935"/>
      <w:bookmarkStart w:id="42" w:name="_Toc231279740"/>
      <w:bookmarkStart w:id="43" w:name="_Toc231305093"/>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262" w:type="dxa"/>
            <w:gridSpan w:val="3"/>
            <w:noWrap w:val="0"/>
            <w:vAlign w:val="top"/>
          </w:tcPr>
          <w:p>
            <w:pPr>
              <w:spacing w:line="360" w:lineRule="auto"/>
              <w:rPr>
                <w:rFonts w:ascii="宋体"/>
                <w:color w:val="000000"/>
                <w:sz w:val="24"/>
              </w:rPr>
            </w:pPr>
          </w:p>
        </w:tc>
        <w:tc>
          <w:tcPr>
            <w:tcW w:w="2371"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935" w:type="dxa"/>
            <w:noWrap w:val="0"/>
            <w:vAlign w:val="top"/>
          </w:tcPr>
          <w:p>
            <w:pPr>
              <w:spacing w:line="360" w:lineRule="auto"/>
              <w:rPr>
                <w:rFonts w:ascii="宋体"/>
                <w:color w:val="000000"/>
                <w:sz w:val="24"/>
              </w:rPr>
            </w:pPr>
          </w:p>
        </w:tc>
        <w:tc>
          <w:tcPr>
            <w:tcW w:w="1307"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pPr>
              <w:spacing w:line="360" w:lineRule="auto"/>
              <w:jc w:val="center"/>
              <w:rPr>
                <w:rFonts w:ascii="宋体"/>
                <w:b/>
                <w:color w:val="000000"/>
                <w:sz w:val="24"/>
              </w:rPr>
            </w:pPr>
          </w:p>
        </w:tc>
      </w:tr>
    </w:tbl>
    <w:p>
      <w:pPr>
        <w:spacing w:line="360" w:lineRule="auto"/>
        <w:rPr>
          <w:rFonts w:ascii="宋体"/>
          <w:color w:val="000000"/>
          <w:sz w:val="24"/>
        </w:rPr>
      </w:pPr>
    </w:p>
    <w:p>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pPr>
              <w:spacing w:line="360" w:lineRule="auto"/>
              <w:jc w:val="center"/>
              <w:rPr>
                <w:rFonts w:ascii="宋体"/>
                <w:b/>
                <w:color w:val="000000"/>
                <w:szCs w:val="21"/>
              </w:rPr>
            </w:pPr>
          </w:p>
        </w:tc>
        <w:tc>
          <w:tcPr>
            <w:tcW w:w="1659" w:type="dxa"/>
            <w:gridSpan w:val="2"/>
            <w:noWrap w:val="0"/>
            <w:vAlign w:val="center"/>
          </w:tcPr>
          <w:p>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pPr>
              <w:spacing w:line="360" w:lineRule="auto"/>
              <w:jc w:val="center"/>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jc w:val="left"/>
              <w:rPr>
                <w:rFonts w:asci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pPr>
              <w:spacing w:line="360" w:lineRule="auto"/>
              <w:rPr>
                <w:rFonts w:ascii="宋体"/>
                <w:color w:val="000000"/>
                <w:sz w:val="24"/>
              </w:rPr>
            </w:pPr>
          </w:p>
        </w:tc>
        <w:tc>
          <w:tcPr>
            <w:tcW w:w="2894" w:type="dxa"/>
            <w:gridSpan w:val="3"/>
            <w:noWrap w:val="0"/>
            <w:vAlign w:val="top"/>
          </w:tcPr>
          <w:p>
            <w:pPr>
              <w:spacing w:line="360" w:lineRule="auto"/>
              <w:rPr>
                <w:rFonts w:ascii="宋体"/>
                <w:color w:val="000000"/>
                <w:sz w:val="24"/>
              </w:rPr>
            </w:pPr>
          </w:p>
        </w:tc>
        <w:tc>
          <w:tcPr>
            <w:tcW w:w="1739" w:type="dxa"/>
            <w:noWrap w:val="0"/>
            <w:vAlign w:val="top"/>
          </w:tcPr>
          <w:p>
            <w:pPr>
              <w:spacing w:line="360" w:lineRule="auto"/>
              <w:rPr>
                <w:rFonts w:ascii="宋体"/>
                <w:color w:val="000000"/>
                <w:sz w:val="24"/>
              </w:rPr>
            </w:pPr>
          </w:p>
        </w:tc>
        <w:tc>
          <w:tcPr>
            <w:tcW w:w="2357" w:type="dxa"/>
            <w:noWrap w:val="0"/>
            <w:vAlign w:val="top"/>
          </w:tcPr>
          <w:p>
            <w:pPr>
              <w:spacing w:line="360" w:lineRule="auto"/>
              <w:rPr>
                <w:rFonts w:ascii="宋体"/>
                <w:color w:val="000000"/>
                <w:sz w:val="24"/>
              </w:rPr>
            </w:pPr>
          </w:p>
        </w:tc>
        <w:tc>
          <w:tcPr>
            <w:tcW w:w="683" w:type="dxa"/>
            <w:noWrap w:val="0"/>
            <w:vAlign w:val="top"/>
          </w:tcPr>
          <w:p>
            <w:pPr>
              <w:spacing w:line="360" w:lineRule="auto"/>
              <w:rPr>
                <w:rFonts w:ascii="宋体"/>
                <w:color w:val="000000"/>
                <w:sz w:val="24"/>
              </w:rPr>
            </w:pPr>
          </w:p>
        </w:tc>
        <w:tc>
          <w:tcPr>
            <w:tcW w:w="976" w:type="dxa"/>
            <w:noWrap w:val="0"/>
            <w:vAlign w:val="top"/>
          </w:tcPr>
          <w:p>
            <w:pPr>
              <w:spacing w:line="360" w:lineRule="auto"/>
              <w:rPr>
                <w:rFonts w:ascii="宋体"/>
                <w:color w:val="000000"/>
                <w:sz w:val="24"/>
              </w:rPr>
            </w:pPr>
          </w:p>
        </w:tc>
        <w:tc>
          <w:tcPr>
            <w:tcW w:w="1191" w:type="dxa"/>
            <w:noWrap w:val="0"/>
            <w:vAlign w:val="top"/>
          </w:tcPr>
          <w:p>
            <w:pPr>
              <w:spacing w:line="360" w:lineRule="auto"/>
              <w:rPr>
                <w:rFonts w:ascii="宋体"/>
                <w:color w:val="000000"/>
                <w:sz w:val="24"/>
              </w:rPr>
            </w:pPr>
          </w:p>
        </w:tc>
        <w:tc>
          <w:tcPr>
            <w:tcW w:w="1192" w:type="dxa"/>
            <w:noWrap w:val="0"/>
            <w:vAlign w:val="top"/>
          </w:tcPr>
          <w:p>
            <w:pPr>
              <w:spacing w:line="360" w:lineRule="auto"/>
              <w:rPr>
                <w:rFonts w:ascii="宋体"/>
                <w:color w:val="000000"/>
                <w:sz w:val="24"/>
              </w:rPr>
            </w:pPr>
          </w:p>
        </w:tc>
        <w:tc>
          <w:tcPr>
            <w:tcW w:w="2242" w:type="dxa"/>
            <w:noWrap w:val="0"/>
            <w:vAlign w:val="top"/>
          </w:tcPr>
          <w:p>
            <w:pPr>
              <w:spacing w:line="360" w:lineRule="auto"/>
              <w:rPr>
                <w:rFonts w:asci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pPr>
              <w:spacing w:line="360" w:lineRule="auto"/>
              <w:jc w:val="center"/>
              <w:rPr>
                <w:rFonts w:ascii="宋体"/>
                <w:b/>
                <w:color w:val="000000"/>
                <w:sz w:val="24"/>
              </w:rPr>
            </w:pPr>
          </w:p>
        </w:tc>
        <w:tc>
          <w:tcPr>
            <w:tcW w:w="2357" w:type="dxa"/>
            <w:noWrap w:val="0"/>
            <w:vAlign w:val="center"/>
          </w:tcPr>
          <w:p>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pPr>
              <w:spacing w:line="360" w:lineRule="auto"/>
              <w:jc w:val="center"/>
              <w:rPr>
                <w:rFonts w:ascii="宋体"/>
                <w:b/>
                <w:color w:val="000000"/>
                <w:sz w:val="24"/>
              </w:rPr>
            </w:pPr>
          </w:p>
        </w:tc>
        <w:tc>
          <w:tcPr>
            <w:tcW w:w="1192" w:type="dxa"/>
            <w:noWrap w:val="0"/>
            <w:vAlign w:val="center"/>
          </w:tcPr>
          <w:p>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pPr>
              <w:spacing w:line="360" w:lineRule="auto"/>
              <w:jc w:val="center"/>
              <w:rPr>
                <w:rFonts w:ascii="宋体"/>
                <w:b/>
                <w:color w:val="000000"/>
                <w:sz w:val="24"/>
              </w:rPr>
            </w:pPr>
          </w:p>
        </w:tc>
      </w:tr>
    </w:tbl>
    <w:p>
      <w:pPr>
        <w:pStyle w:val="3"/>
        <w:rPr>
          <w:rFonts w:ascii="宋体" w:hAnsi="宋体"/>
          <w:color w:val="000000"/>
          <w:spacing w:val="4"/>
          <w:sz w:val="24"/>
        </w:rPr>
      </w:pPr>
    </w:p>
    <w:p>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pPr>
        <w:pStyle w:val="7"/>
        <w:spacing w:line="390" w:lineRule="auto"/>
      </w:pPr>
    </w:p>
    <w:p>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pPr>
              <w:rPr>
                <w:rFonts w:ascii="Arial"/>
                <w:sz w:val="21"/>
              </w:rPr>
            </w:pPr>
          </w:p>
        </w:tc>
        <w:tc>
          <w:tcPr>
            <w:tcW w:w="1658" w:type="dxa"/>
            <w:vAlign w:val="top"/>
          </w:tcPr>
          <w:p>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pPr>
              <w:rPr>
                <w:rFonts w:ascii="Arial"/>
                <w:sz w:val="21"/>
              </w:rPr>
            </w:pPr>
          </w:p>
        </w:tc>
        <w:tc>
          <w:tcPr>
            <w:tcW w:w="2893" w:type="dxa"/>
            <w:gridSpan w:val="3"/>
            <w:vAlign w:val="top"/>
          </w:tcPr>
          <w:p>
            <w:pPr>
              <w:rPr>
                <w:rFonts w:ascii="Arial"/>
                <w:sz w:val="21"/>
              </w:rPr>
            </w:pPr>
          </w:p>
        </w:tc>
        <w:tc>
          <w:tcPr>
            <w:tcW w:w="1739" w:type="dxa"/>
            <w:gridSpan w:val="2"/>
            <w:vAlign w:val="top"/>
          </w:tcPr>
          <w:p>
            <w:pPr>
              <w:rPr>
                <w:rFonts w:ascii="Arial"/>
                <w:sz w:val="21"/>
              </w:rPr>
            </w:pPr>
          </w:p>
        </w:tc>
        <w:tc>
          <w:tcPr>
            <w:tcW w:w="2357" w:type="dxa"/>
            <w:gridSpan w:val="2"/>
            <w:vAlign w:val="top"/>
          </w:tcPr>
          <w:p>
            <w:pPr>
              <w:rPr>
                <w:rFonts w:ascii="Arial"/>
                <w:sz w:val="21"/>
              </w:rPr>
            </w:pPr>
          </w:p>
        </w:tc>
        <w:tc>
          <w:tcPr>
            <w:tcW w:w="1658" w:type="dxa"/>
            <w:vAlign w:val="top"/>
          </w:tcPr>
          <w:p>
            <w:pPr>
              <w:rPr>
                <w:rFonts w:ascii="Arial"/>
                <w:sz w:val="21"/>
              </w:rPr>
            </w:pPr>
          </w:p>
        </w:tc>
        <w:tc>
          <w:tcPr>
            <w:tcW w:w="462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pPr>
              <w:rPr>
                <w:rFonts w:ascii="Arial"/>
                <w:sz w:val="21"/>
              </w:rPr>
            </w:pPr>
          </w:p>
        </w:tc>
        <w:tc>
          <w:tcPr>
            <w:tcW w:w="2553" w:type="dxa"/>
            <w:gridSpan w:val="2"/>
            <w:vAlign w:val="top"/>
          </w:tcPr>
          <w:p>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pPr>
              <w:rPr>
                <w:rFonts w:ascii="Arial"/>
                <w:sz w:val="21"/>
              </w:rPr>
            </w:pPr>
          </w:p>
        </w:tc>
        <w:tc>
          <w:tcPr>
            <w:tcW w:w="1191" w:type="dxa"/>
            <w:vAlign w:val="top"/>
          </w:tcPr>
          <w:p>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pPr>
              <w:rPr>
                <w:rFonts w:ascii="Arial"/>
                <w:sz w:val="21"/>
              </w:rPr>
            </w:pPr>
          </w:p>
        </w:tc>
      </w:tr>
    </w:tbl>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pPr>
        <w:rPr>
          <w:rFonts w:hint="eastAsia" w:ascii="宋体" w:hAnsi="宋体"/>
          <w:b w:val="0"/>
          <w:color w:val="000000"/>
          <w:sz w:val="21"/>
          <w:szCs w:val="21"/>
        </w:rPr>
      </w:pPr>
    </w:p>
    <w:p>
      <w:pPr>
        <w:rPr>
          <w:rFonts w:hint="eastAsia" w:ascii="宋体" w:hAnsi="宋体"/>
          <w:b w:val="0"/>
          <w:color w:val="000000"/>
          <w:sz w:val="21"/>
          <w:szCs w:val="21"/>
        </w:rPr>
      </w:pPr>
    </w:p>
    <w:p>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p>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pPr>
        <w:spacing w:line="360" w:lineRule="auto"/>
        <w:ind w:firstLine="480" w:firstLineChars="200"/>
        <w:rPr>
          <w:rFonts w:ascii="宋体"/>
          <w:color w:val="000000"/>
          <w:sz w:val="24"/>
        </w:rPr>
      </w:pPr>
    </w:p>
    <w:p>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pPr>
              <w:ind w:left="-90"/>
              <w:jc w:val="center"/>
              <w:rPr>
                <w:rFonts w:ascii="宋体"/>
                <w:color w:val="000000"/>
                <w:kern w:val="0"/>
                <w:sz w:val="24"/>
              </w:rPr>
            </w:pPr>
          </w:p>
        </w:tc>
        <w:tc>
          <w:tcPr>
            <w:tcW w:w="1418" w:type="dxa"/>
            <w:noWrap w:val="0"/>
            <w:vAlign w:val="center"/>
          </w:tcPr>
          <w:p>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pPr>
              <w:ind w:left="-90"/>
              <w:jc w:val="center"/>
              <w:rPr>
                <w:rFonts w:ascii="宋体"/>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pPr>
              <w:ind w:left="-90"/>
              <w:jc w:val="center"/>
              <w:rPr>
                <w:rFonts w:ascii="宋体"/>
                <w:b/>
                <w:color w:val="000000"/>
                <w:sz w:val="24"/>
              </w:rPr>
            </w:pPr>
            <w:r>
              <w:rPr>
                <w:rFonts w:hint="eastAsia" w:ascii="宋体" w:hAnsi="宋体"/>
                <w:b/>
                <w:color w:val="000000"/>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right="-288" w:rightChars="-137"/>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pPr>
              <w:ind w:left="-90"/>
              <w:jc w:val="left"/>
              <w:rPr>
                <w:rFonts w:ascii="Mincho"/>
                <w:color w:val="000000"/>
                <w:kern w:val="0"/>
                <w:sz w:val="20"/>
              </w:rPr>
            </w:pPr>
          </w:p>
        </w:tc>
        <w:tc>
          <w:tcPr>
            <w:tcW w:w="3686" w:type="dxa"/>
            <w:gridSpan w:val="2"/>
            <w:noWrap w:val="0"/>
            <w:vAlign w:val="top"/>
          </w:tcPr>
          <w:p>
            <w:pPr>
              <w:ind w:left="-90"/>
              <w:jc w:val="left"/>
              <w:rPr>
                <w:rFonts w:ascii="Mincho"/>
                <w:color w:val="000000"/>
                <w:kern w:val="0"/>
                <w:sz w:val="20"/>
              </w:rPr>
            </w:pPr>
          </w:p>
        </w:tc>
        <w:tc>
          <w:tcPr>
            <w:tcW w:w="4252" w:type="dxa"/>
            <w:gridSpan w:val="2"/>
            <w:noWrap w:val="0"/>
            <w:vAlign w:val="top"/>
          </w:tcPr>
          <w:p>
            <w:pPr>
              <w:ind w:left="-90"/>
              <w:jc w:val="left"/>
              <w:rPr>
                <w:rFonts w:ascii="Mincho"/>
                <w:color w:val="000000"/>
                <w:kern w:val="0"/>
                <w:sz w:val="20"/>
              </w:rPr>
            </w:pPr>
          </w:p>
        </w:tc>
        <w:tc>
          <w:tcPr>
            <w:tcW w:w="1418" w:type="dxa"/>
            <w:noWrap w:val="0"/>
            <w:vAlign w:val="top"/>
          </w:tcPr>
          <w:p>
            <w:pPr>
              <w:ind w:left="-90"/>
              <w:jc w:val="left"/>
              <w:rPr>
                <w:rFonts w:ascii="Mincho"/>
                <w:color w:val="000000"/>
                <w:kern w:val="0"/>
                <w:sz w:val="20"/>
              </w:rPr>
            </w:pPr>
          </w:p>
        </w:tc>
        <w:tc>
          <w:tcPr>
            <w:tcW w:w="4006" w:type="dxa"/>
            <w:noWrap w:val="0"/>
            <w:vAlign w:val="top"/>
          </w:tcPr>
          <w:p>
            <w:pPr>
              <w:ind w:left="-90"/>
              <w:jc w:val="left"/>
              <w:rPr>
                <w:rFonts w:ascii="Mincho"/>
                <w:color w:val="000000"/>
                <w:kern w:val="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pPr>
              <w:ind w:left="-90"/>
              <w:jc w:val="center"/>
              <w:rPr>
                <w:rFonts w:ascii="Mincho"/>
                <w:color w:val="000000"/>
                <w:kern w:val="0"/>
                <w:sz w:val="20"/>
              </w:rPr>
            </w:pPr>
          </w:p>
        </w:tc>
        <w:tc>
          <w:tcPr>
            <w:tcW w:w="2693" w:type="dxa"/>
            <w:noWrap w:val="0"/>
            <w:vAlign w:val="center"/>
          </w:tcPr>
          <w:p>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pPr>
              <w:ind w:left="-90"/>
              <w:jc w:val="center"/>
              <w:rPr>
                <w:rFonts w:ascii="Mincho"/>
                <w:color w:val="000000"/>
                <w:kern w:val="0"/>
                <w:sz w:val="20"/>
              </w:rPr>
            </w:pPr>
          </w:p>
        </w:tc>
        <w:tc>
          <w:tcPr>
            <w:tcW w:w="1418" w:type="dxa"/>
            <w:noWrap w:val="0"/>
            <w:vAlign w:val="center"/>
          </w:tcPr>
          <w:p>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pPr>
              <w:ind w:left="-90"/>
              <w:jc w:val="center"/>
              <w:rPr>
                <w:rFonts w:ascii="Mincho"/>
                <w:color w:val="000000"/>
                <w:kern w:val="0"/>
                <w:sz w:val="20"/>
              </w:rPr>
            </w:pPr>
          </w:p>
        </w:tc>
      </w:tr>
    </w:tbl>
    <w:p>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pPr>
        <w:pStyle w:val="3"/>
        <w:rPr>
          <w:rFonts w:ascii="宋体" w:hAnsi="宋体"/>
          <w:b w:val="0"/>
          <w:color w:val="000000"/>
          <w:sz w:val="21"/>
          <w:szCs w:val="21"/>
        </w:rPr>
      </w:pPr>
      <w:bookmarkStart w:id="50" w:name="_Toc34991466"/>
      <w:bookmarkStart w:id="51" w:name="_Toc29319"/>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pPr>
        <w:jc w:val="center"/>
        <w:rPr>
          <w:b/>
          <w:color w:val="000000"/>
          <w:sz w:val="44"/>
          <w:szCs w:val="44"/>
        </w:rPr>
      </w:pPr>
      <w:r>
        <w:rPr>
          <w:rFonts w:hint="eastAsia"/>
          <w:b/>
          <w:color w:val="000000"/>
          <w:sz w:val="44"/>
          <w:szCs w:val="44"/>
        </w:rPr>
        <w:t>法定代表人资格证明</w:t>
      </w:r>
    </w:p>
    <w:p>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pPr>
        <w:widowControl/>
        <w:wordWrap w:val="0"/>
        <w:snapToGrid w:val="0"/>
        <w:spacing w:before="90" w:after="90" w:line="360" w:lineRule="auto"/>
        <w:ind w:firstLine="600"/>
        <w:jc w:val="left"/>
        <w:rPr>
          <w:rFonts w:ascii="宋体" w:cs="宋体"/>
          <w:color w:val="000000"/>
          <w:kern w:val="0"/>
          <w:sz w:val="28"/>
          <w:szCs w:val="28"/>
        </w:rPr>
      </w:pP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p>
    <w:p>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2336;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60288;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pPr>
        <w:jc w:val="center"/>
        <w:rPr>
          <w:b/>
          <w:color w:val="000000"/>
          <w:sz w:val="44"/>
          <w:szCs w:val="44"/>
        </w:rPr>
      </w:pPr>
      <w:r>
        <w:rPr>
          <w:rFonts w:hint="eastAsia"/>
          <w:b/>
          <w:color w:val="000000"/>
          <w:sz w:val="44"/>
          <w:szCs w:val="44"/>
        </w:rPr>
        <w:t>法定代表人授权书</w:t>
      </w:r>
    </w:p>
    <w:p>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3360"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3360;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p/>
                          <w:p/>
                          <w:p/>
                          <w:p>
                            <w:pPr>
                              <w:jc w:val="center"/>
                              <w:rPr>
                                <w:sz w:val="24"/>
                              </w:rPr>
                            </w:pPr>
                            <w:r>
                              <w:rPr>
                                <w:rFonts w:hint="eastAsia"/>
                                <w:sz w:val="24"/>
                              </w:rPr>
                              <w:t>被授权人身份证复印件粘贴处</w:t>
                            </w:r>
                          </w:p>
                          <w:p>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1312;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p/>
                    <w:p/>
                    <w:p/>
                    <w:p>
                      <w:pPr>
                        <w:jc w:val="center"/>
                        <w:rPr>
                          <w:sz w:val="24"/>
                        </w:rPr>
                      </w:pPr>
                      <w:r>
                        <w:rPr>
                          <w:rFonts w:hint="eastAsia"/>
                          <w:sz w:val="24"/>
                        </w:rPr>
                        <w:t>被授权人身份证复印件粘贴处</w:t>
                      </w:r>
                    </w:p>
                    <w:p>
                      <w:pPr>
                        <w:jc w:val="center"/>
                      </w:pPr>
                      <w:r>
                        <w:rPr>
                          <w:rFonts w:hint="eastAsia"/>
                          <w:sz w:val="24"/>
                        </w:rPr>
                        <w:t>（正面）</w:t>
                      </w:r>
                    </w:p>
                  </w:txbxContent>
                </v:textbox>
              </v:shape>
            </w:pict>
          </mc:Fallback>
        </mc:AlternateContent>
      </w:r>
    </w:p>
    <w:p>
      <w:pPr>
        <w:spacing w:line="360" w:lineRule="auto"/>
        <w:ind w:right="-351" w:rightChars="-167"/>
        <w:rPr>
          <w:color w:val="000000"/>
          <w:sz w:val="28"/>
          <w:szCs w:val="28"/>
        </w:rPr>
      </w:pPr>
    </w:p>
    <w:p>
      <w:pPr>
        <w:spacing w:line="360" w:lineRule="auto"/>
        <w:ind w:right="-351" w:rightChars="-167"/>
        <w:rPr>
          <w:color w:val="000000"/>
          <w:sz w:val="28"/>
          <w:szCs w:val="28"/>
        </w:rPr>
      </w:pPr>
    </w:p>
    <w:p>
      <w:pPr>
        <w:spacing w:line="360" w:lineRule="auto"/>
        <w:ind w:right="-351" w:rightChars="-167"/>
        <w:rPr>
          <w:color w:val="000000"/>
          <w:sz w:val="28"/>
          <w:szCs w:val="28"/>
        </w:rPr>
      </w:pPr>
    </w:p>
    <w:p>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pacing w:val="-4"/>
          <w:sz w:val="21"/>
          <w:szCs w:val="21"/>
        </w:rPr>
      </w:pPr>
    </w:p>
    <w:p>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pPr>
        <w:pStyle w:val="7"/>
        <w:spacing w:line="290" w:lineRule="auto"/>
      </w:pPr>
    </w:p>
    <w:p>
      <w:pPr>
        <w:pStyle w:val="7"/>
        <w:spacing w:line="290" w:lineRule="auto"/>
      </w:pPr>
    </w:p>
    <w:p>
      <w:pPr>
        <w:pStyle w:val="7"/>
        <w:spacing w:line="291" w:lineRule="auto"/>
      </w:pPr>
    </w:p>
    <w:p>
      <w:pPr>
        <w:pStyle w:val="7"/>
        <w:spacing w:line="291" w:lineRule="auto"/>
      </w:pPr>
    </w:p>
    <w:p>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pPr>
        <w:pStyle w:val="7"/>
        <w:spacing w:line="329" w:lineRule="auto"/>
      </w:pPr>
    </w:p>
    <w:p>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pPr>
        <w:pStyle w:val="7"/>
        <w:spacing w:line="252" w:lineRule="auto"/>
      </w:pPr>
    </w:p>
    <w:p>
      <w:pPr>
        <w:pStyle w:val="7"/>
        <w:spacing w:line="252" w:lineRule="auto"/>
      </w:pPr>
    </w:p>
    <w:p>
      <w:pPr>
        <w:pStyle w:val="7"/>
        <w:spacing w:line="252" w:lineRule="auto"/>
      </w:pPr>
    </w:p>
    <w:p>
      <w:pPr>
        <w:pStyle w:val="7"/>
        <w:spacing w:line="252" w:lineRule="auto"/>
      </w:pPr>
    </w:p>
    <w:p>
      <w:pPr>
        <w:pStyle w:val="7"/>
        <w:spacing w:line="253" w:lineRule="auto"/>
      </w:pPr>
    </w:p>
    <w:p>
      <w:pPr>
        <w:pStyle w:val="7"/>
        <w:spacing w:line="253" w:lineRule="auto"/>
      </w:pPr>
    </w:p>
    <w:p>
      <w:pPr>
        <w:pStyle w:val="7"/>
        <w:spacing w:line="253" w:lineRule="auto"/>
      </w:pPr>
    </w:p>
    <w:p>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pPr>
        <w:pStyle w:val="3"/>
        <w:rPr>
          <w:color w:val="000000"/>
        </w:rPr>
      </w:pPr>
    </w:p>
    <w:p>
      <w:pPr>
        <w:pStyle w:val="3"/>
        <w:rPr>
          <w:color w:val="000000"/>
        </w:rPr>
      </w:pPr>
    </w:p>
    <w:p>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pPr>
        <w:pStyle w:val="7"/>
        <w:spacing w:line="317" w:lineRule="auto"/>
      </w:pPr>
    </w:p>
    <w:p>
      <w:pPr>
        <w:pStyle w:val="7"/>
        <w:spacing w:line="317" w:lineRule="auto"/>
      </w:pPr>
    </w:p>
    <w:p>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pPr>
        <w:pStyle w:val="7"/>
        <w:spacing w:line="244" w:lineRule="auto"/>
      </w:pPr>
    </w:p>
    <w:p>
      <w:pPr>
        <w:pStyle w:val="7"/>
        <w:spacing w:line="244" w:lineRule="auto"/>
      </w:pPr>
    </w:p>
    <w:p>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14"/>
        <w:rPr>
          <w:rFonts w:ascii="宋体" w:hAnsi="宋体" w:eastAsia="宋体" w:cs="宋体"/>
          <w:spacing w:val="-10"/>
          <w:sz w:val="28"/>
          <w:szCs w:val="28"/>
        </w:rPr>
      </w:pPr>
    </w:p>
    <w:p>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pPr>
        <w:widowControl/>
        <w:snapToGrid w:val="0"/>
        <w:spacing w:line="460" w:lineRule="exact"/>
        <w:ind w:firstLine="601"/>
        <w:jc w:val="left"/>
        <w:rPr>
          <w:rFonts w:hint="eastAsia" w:ascii="宋体" w:hAnsi="宋体" w:cs="宋体"/>
          <w:color w:val="000000"/>
          <w:kern w:val="0"/>
          <w:sz w:val="24"/>
        </w:rPr>
      </w:pPr>
    </w:p>
    <w:p>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p>
    <w:p>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pPr>
        <w:spacing w:line="460" w:lineRule="exact"/>
        <w:rPr>
          <w:rFonts w:ascii="黑体" w:hAnsi="黑体" w:eastAsia="黑体"/>
          <w:b/>
          <w:color w:val="000000"/>
          <w:sz w:val="24"/>
          <w:u w:val="single"/>
        </w:rPr>
      </w:pPr>
    </w:p>
    <w:p>
      <w:pPr>
        <w:spacing w:line="460" w:lineRule="exact"/>
        <w:rPr>
          <w:rFonts w:hint="eastAsia" w:ascii="宋体" w:hAnsi="宋体"/>
          <w:b/>
          <w:color w:val="000000"/>
          <w:sz w:val="24"/>
        </w:rPr>
      </w:pPr>
    </w:p>
    <w:p>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pPr>
        <w:pStyle w:val="14"/>
        <w:rPr>
          <w:rFonts w:ascii="宋体" w:hAnsi="宋体" w:eastAsia="宋体" w:cs="宋体"/>
          <w:spacing w:val="-10"/>
          <w:sz w:val="28"/>
          <w:szCs w:val="28"/>
        </w:rPr>
      </w:pPr>
    </w:p>
    <w:sectPr>
      <w:headerReference r:id="rId5" w:type="default"/>
      <w:footerReference r:id="rId6"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8D72DF"/>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9F838D2"/>
    <w:rsid w:val="0A076B0A"/>
    <w:rsid w:val="0A833281"/>
    <w:rsid w:val="0B92287D"/>
    <w:rsid w:val="0BE36945"/>
    <w:rsid w:val="0C0F4CA9"/>
    <w:rsid w:val="0C1110C3"/>
    <w:rsid w:val="0CDD29F0"/>
    <w:rsid w:val="0CFF7B5C"/>
    <w:rsid w:val="0D2D7BF7"/>
    <w:rsid w:val="0DBB5368"/>
    <w:rsid w:val="0DC37893"/>
    <w:rsid w:val="0DC7755F"/>
    <w:rsid w:val="0DF00038"/>
    <w:rsid w:val="0E995732"/>
    <w:rsid w:val="0EAF24CD"/>
    <w:rsid w:val="0EF12411"/>
    <w:rsid w:val="0F315D59"/>
    <w:rsid w:val="0F491384"/>
    <w:rsid w:val="0F4D7792"/>
    <w:rsid w:val="0FB86E64"/>
    <w:rsid w:val="0FD23F5F"/>
    <w:rsid w:val="0FED6606"/>
    <w:rsid w:val="101C0C30"/>
    <w:rsid w:val="102F5FF2"/>
    <w:rsid w:val="10A122E9"/>
    <w:rsid w:val="10A34788"/>
    <w:rsid w:val="10EF574B"/>
    <w:rsid w:val="11406584"/>
    <w:rsid w:val="116575D6"/>
    <w:rsid w:val="11A007F3"/>
    <w:rsid w:val="121B171E"/>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ED0AD9"/>
    <w:rsid w:val="1C0466A8"/>
    <w:rsid w:val="1C364BBA"/>
    <w:rsid w:val="1C5A0D28"/>
    <w:rsid w:val="1CA476F7"/>
    <w:rsid w:val="1CDE25D6"/>
    <w:rsid w:val="1CFC4FCF"/>
    <w:rsid w:val="1D7D3B03"/>
    <w:rsid w:val="1E6D7CAF"/>
    <w:rsid w:val="1F3D6311"/>
    <w:rsid w:val="207F2647"/>
    <w:rsid w:val="20801F1B"/>
    <w:rsid w:val="20C96E58"/>
    <w:rsid w:val="21391D4A"/>
    <w:rsid w:val="21AA36F4"/>
    <w:rsid w:val="22C97E48"/>
    <w:rsid w:val="233D4FDC"/>
    <w:rsid w:val="23502079"/>
    <w:rsid w:val="23990EC9"/>
    <w:rsid w:val="23B762FF"/>
    <w:rsid w:val="24066C35"/>
    <w:rsid w:val="24471A0C"/>
    <w:rsid w:val="24572F93"/>
    <w:rsid w:val="252F7C57"/>
    <w:rsid w:val="25614FEA"/>
    <w:rsid w:val="268564DD"/>
    <w:rsid w:val="26F90805"/>
    <w:rsid w:val="27093B2F"/>
    <w:rsid w:val="27181100"/>
    <w:rsid w:val="27202030"/>
    <w:rsid w:val="272950BB"/>
    <w:rsid w:val="27397933"/>
    <w:rsid w:val="275444B5"/>
    <w:rsid w:val="28700AC7"/>
    <w:rsid w:val="29552D45"/>
    <w:rsid w:val="29CD1C30"/>
    <w:rsid w:val="2A70221C"/>
    <w:rsid w:val="2B8453D4"/>
    <w:rsid w:val="2C432879"/>
    <w:rsid w:val="2C627C4F"/>
    <w:rsid w:val="2C773E2D"/>
    <w:rsid w:val="2CE77338"/>
    <w:rsid w:val="2D202ABC"/>
    <w:rsid w:val="2D2B3EDE"/>
    <w:rsid w:val="2D6C3CDD"/>
    <w:rsid w:val="2DA570AC"/>
    <w:rsid w:val="2DCE28FC"/>
    <w:rsid w:val="2E832474"/>
    <w:rsid w:val="2E874FAC"/>
    <w:rsid w:val="2E95234A"/>
    <w:rsid w:val="2E9F3ACA"/>
    <w:rsid w:val="2EBD433B"/>
    <w:rsid w:val="2EFF1B09"/>
    <w:rsid w:val="2F3945C8"/>
    <w:rsid w:val="2F4C7C76"/>
    <w:rsid w:val="2FD7142C"/>
    <w:rsid w:val="302A3C52"/>
    <w:rsid w:val="30830122"/>
    <w:rsid w:val="308560E4"/>
    <w:rsid w:val="30ED7B79"/>
    <w:rsid w:val="3166515D"/>
    <w:rsid w:val="31C854D0"/>
    <w:rsid w:val="324575E5"/>
    <w:rsid w:val="32596A25"/>
    <w:rsid w:val="33F05D23"/>
    <w:rsid w:val="34106280"/>
    <w:rsid w:val="342F3A6A"/>
    <w:rsid w:val="34652CD6"/>
    <w:rsid w:val="358677E9"/>
    <w:rsid w:val="35F966E1"/>
    <w:rsid w:val="364E7665"/>
    <w:rsid w:val="36971C9C"/>
    <w:rsid w:val="36D601E8"/>
    <w:rsid w:val="36FA72A6"/>
    <w:rsid w:val="371C5AC4"/>
    <w:rsid w:val="37E27915"/>
    <w:rsid w:val="389D2E5E"/>
    <w:rsid w:val="38AC3A2C"/>
    <w:rsid w:val="38E8560F"/>
    <w:rsid w:val="391C0B65"/>
    <w:rsid w:val="39CE671F"/>
    <w:rsid w:val="39FF1CAB"/>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2B86E9B"/>
    <w:rsid w:val="43654233"/>
    <w:rsid w:val="44557675"/>
    <w:rsid w:val="44B07A08"/>
    <w:rsid w:val="45150F64"/>
    <w:rsid w:val="45BB5620"/>
    <w:rsid w:val="46363230"/>
    <w:rsid w:val="464579F7"/>
    <w:rsid w:val="46C0348B"/>
    <w:rsid w:val="46FD1054"/>
    <w:rsid w:val="47556A01"/>
    <w:rsid w:val="477F6C5D"/>
    <w:rsid w:val="47BB194D"/>
    <w:rsid w:val="485A31EE"/>
    <w:rsid w:val="489F5E3B"/>
    <w:rsid w:val="48AB7EFE"/>
    <w:rsid w:val="490258E8"/>
    <w:rsid w:val="49342513"/>
    <w:rsid w:val="494F67AB"/>
    <w:rsid w:val="4A0A53EF"/>
    <w:rsid w:val="4BA73E97"/>
    <w:rsid w:val="4BC86126"/>
    <w:rsid w:val="4C516396"/>
    <w:rsid w:val="4C797198"/>
    <w:rsid w:val="4D454CFC"/>
    <w:rsid w:val="4DBE70C8"/>
    <w:rsid w:val="4E694A00"/>
    <w:rsid w:val="4EC5306C"/>
    <w:rsid w:val="4ED25562"/>
    <w:rsid w:val="4F566AB1"/>
    <w:rsid w:val="4FEB4DF1"/>
    <w:rsid w:val="503357C0"/>
    <w:rsid w:val="503D2D16"/>
    <w:rsid w:val="50670FCE"/>
    <w:rsid w:val="513D7296"/>
    <w:rsid w:val="51483BB6"/>
    <w:rsid w:val="51736DAF"/>
    <w:rsid w:val="520B348B"/>
    <w:rsid w:val="52464F50"/>
    <w:rsid w:val="529275A5"/>
    <w:rsid w:val="529C3023"/>
    <w:rsid w:val="52C553E8"/>
    <w:rsid w:val="533D0D5E"/>
    <w:rsid w:val="54B81BBC"/>
    <w:rsid w:val="54D23DEC"/>
    <w:rsid w:val="56215851"/>
    <w:rsid w:val="566B6422"/>
    <w:rsid w:val="57C46052"/>
    <w:rsid w:val="5822606F"/>
    <w:rsid w:val="58A73B18"/>
    <w:rsid w:val="58E514AF"/>
    <w:rsid w:val="5A4C3E5A"/>
    <w:rsid w:val="5A7D7B3D"/>
    <w:rsid w:val="5B4E3863"/>
    <w:rsid w:val="5C65182B"/>
    <w:rsid w:val="5CEA1B7D"/>
    <w:rsid w:val="5D613C65"/>
    <w:rsid w:val="5D8C3A2F"/>
    <w:rsid w:val="5E9474D3"/>
    <w:rsid w:val="5F19213D"/>
    <w:rsid w:val="5F230066"/>
    <w:rsid w:val="5F5B21A9"/>
    <w:rsid w:val="5FAA6092"/>
    <w:rsid w:val="60E4227B"/>
    <w:rsid w:val="616B0426"/>
    <w:rsid w:val="619B033C"/>
    <w:rsid w:val="61B91426"/>
    <w:rsid w:val="62126170"/>
    <w:rsid w:val="628726BA"/>
    <w:rsid w:val="62B03E2D"/>
    <w:rsid w:val="635C1859"/>
    <w:rsid w:val="63C92C54"/>
    <w:rsid w:val="63F9140D"/>
    <w:rsid w:val="64F8789F"/>
    <w:rsid w:val="65DB3287"/>
    <w:rsid w:val="65EB428F"/>
    <w:rsid w:val="66093965"/>
    <w:rsid w:val="66A852F5"/>
    <w:rsid w:val="67784E22"/>
    <w:rsid w:val="67BD26DA"/>
    <w:rsid w:val="67DA08F2"/>
    <w:rsid w:val="67E75076"/>
    <w:rsid w:val="680A70FD"/>
    <w:rsid w:val="681F07D9"/>
    <w:rsid w:val="68336A02"/>
    <w:rsid w:val="68435C26"/>
    <w:rsid w:val="688345E5"/>
    <w:rsid w:val="68BA3557"/>
    <w:rsid w:val="68FA0664"/>
    <w:rsid w:val="69036A8A"/>
    <w:rsid w:val="6926728F"/>
    <w:rsid w:val="69D525EC"/>
    <w:rsid w:val="6BC1223C"/>
    <w:rsid w:val="6BE33FA7"/>
    <w:rsid w:val="6BF55A4E"/>
    <w:rsid w:val="6C465F5C"/>
    <w:rsid w:val="6C6178D9"/>
    <w:rsid w:val="6D95791B"/>
    <w:rsid w:val="6FDD7144"/>
    <w:rsid w:val="70281CF1"/>
    <w:rsid w:val="704C4991"/>
    <w:rsid w:val="70B34FC2"/>
    <w:rsid w:val="71294FA1"/>
    <w:rsid w:val="71885DD2"/>
    <w:rsid w:val="71D72C0E"/>
    <w:rsid w:val="71E219F3"/>
    <w:rsid w:val="72224E32"/>
    <w:rsid w:val="72370CB6"/>
    <w:rsid w:val="72963BA6"/>
    <w:rsid w:val="729907F9"/>
    <w:rsid w:val="72C47013"/>
    <w:rsid w:val="732B25B2"/>
    <w:rsid w:val="73CC7AC9"/>
    <w:rsid w:val="747554DC"/>
    <w:rsid w:val="74DF0221"/>
    <w:rsid w:val="74E90FB2"/>
    <w:rsid w:val="7548217D"/>
    <w:rsid w:val="75812F99"/>
    <w:rsid w:val="759728B6"/>
    <w:rsid w:val="75B94E29"/>
    <w:rsid w:val="76335855"/>
    <w:rsid w:val="763A7532"/>
    <w:rsid w:val="77C16289"/>
    <w:rsid w:val="77C819C8"/>
    <w:rsid w:val="77D53B6D"/>
    <w:rsid w:val="77F9775E"/>
    <w:rsid w:val="78246CD9"/>
    <w:rsid w:val="785250C1"/>
    <w:rsid w:val="78930A25"/>
    <w:rsid w:val="79427311"/>
    <w:rsid w:val="7A5806A3"/>
    <w:rsid w:val="7A835A7B"/>
    <w:rsid w:val="7A9018C8"/>
    <w:rsid w:val="7AE077B3"/>
    <w:rsid w:val="7B7E5661"/>
    <w:rsid w:val="7BA3306A"/>
    <w:rsid w:val="7C0204A3"/>
    <w:rsid w:val="7C5807CC"/>
    <w:rsid w:val="7C6A78A5"/>
    <w:rsid w:val="7D546E14"/>
    <w:rsid w:val="7D783DA2"/>
    <w:rsid w:val="7E0C3712"/>
    <w:rsid w:val="7E0D28D9"/>
    <w:rsid w:val="7E6E2528"/>
    <w:rsid w:val="7E7E4C8E"/>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10033</Words>
  <Characters>10532</Characters>
  <Lines>134</Lines>
  <Paragraphs>37</Paragraphs>
  <TotalTime>26</TotalTime>
  <ScaleCrop>false</ScaleCrop>
  <LinksUpToDate>false</LinksUpToDate>
  <CharactersWithSpaces>11267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2024-04-26T08:45:02Z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D64DF9F138CE4566840BA8D480CF02CA_13</vt:lpwstr>
  </property>
</Properties>
</file>