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eastAsia" w:ascii="宋体" w:hAnsi="宋体" w:cs="宋体"/>
          <w:b/>
          <w:bCs/>
          <w:sz w:val="32"/>
          <w:szCs w:val="32"/>
          <w:lang w:val="en-US" w:eastAsia="zh-CN"/>
        </w:rPr>
      </w:pPr>
      <w:r>
        <w:rPr>
          <w:rFonts w:hint="eastAsia" w:ascii="宋体" w:hAnsi="宋体" w:cs="宋体"/>
          <w:b/>
          <w:bCs/>
          <w:sz w:val="32"/>
          <w:szCs w:val="32"/>
        </w:rPr>
        <w:t>项目名称：安全工程与应急管理学院化工安全综合实验室建设</w:t>
      </w:r>
      <w:r>
        <w:rPr>
          <w:rFonts w:hint="eastAsia" w:ascii="宋体" w:hAnsi="宋体" w:cs="宋体"/>
          <w:b/>
          <w:bCs/>
          <w:sz w:val="32"/>
          <w:szCs w:val="32"/>
          <w:lang w:val="en-US" w:eastAsia="zh-CN"/>
        </w:rPr>
        <w:t>项目</w:t>
      </w:r>
    </w:p>
    <w:p>
      <w:pPr>
        <w:jc w:val="center"/>
        <w:rPr>
          <w:rFonts w:hint="eastAsia"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ZCZB2024002</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1</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安全工程与应急管理学院化工安全综合实验室建设</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安全工程与应急管理学院化工安全综合实验室建设</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numPr>
          <w:ilvl w:val="0"/>
          <w:numId w:val="1"/>
        </w:numPr>
        <w:spacing w:line="360" w:lineRule="exact"/>
        <w:ind w:left="-1" w:firstLine="480" w:firstLineChars="200"/>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海安校区知行楼102、106、107</w:t>
      </w:r>
    </w:p>
    <w:p>
      <w:pPr>
        <w:numPr>
          <w:ilvl w:val="0"/>
          <w:numId w:val="1"/>
        </w:num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4、工期要求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不超过</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45</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auto"/>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（2）法定代表人为同一人的两个及两</w:t>
      </w:r>
      <w:r>
        <w:rPr>
          <w:rFonts w:hint="eastAsia" w:ascii="宋体" w:hAnsi="宋体" w:cs="宋体"/>
          <w:sz w:val="24"/>
          <w:szCs w:val="24"/>
          <w:lang w:val="en-US" w:eastAsia="zh-CN"/>
        </w:rPr>
        <w:t>个</w:t>
      </w:r>
      <w:r>
        <w:rPr>
          <w:rFonts w:hint="eastAsia" w:ascii="宋体" w:hAnsi="宋体" w:eastAsia="宋体" w:cs="宋体"/>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sz w:val="24"/>
          <w:szCs w:val="24"/>
        </w:rPr>
        <w:t>人民币</w:t>
      </w:r>
      <w:r>
        <w:rPr>
          <w:rFonts w:hint="eastAsia" w:ascii="黑体" w:hAnsi="黑体" w:eastAsia="黑体" w:cs="黑体"/>
          <w:b/>
          <w:bCs/>
          <w:sz w:val="24"/>
          <w:szCs w:val="24"/>
          <w:lang w:val="en-US" w:eastAsia="zh-CN"/>
        </w:rPr>
        <w:t>400</w:t>
      </w:r>
      <w:r>
        <w:rPr>
          <w:rFonts w:hint="eastAsia" w:ascii="黑体" w:hAnsi="黑体" w:eastAsia="黑体" w:cs="黑体"/>
          <w:b/>
          <w:bCs/>
          <w:sz w:val="24"/>
          <w:szCs w:val="24"/>
        </w:rPr>
        <w:t>元</w:t>
      </w:r>
      <w:r>
        <w:rPr>
          <w:rFonts w:hint="eastAsia" w:ascii="宋体" w:hAnsi="宋体" w:eastAsia="宋体" w:cs="宋体"/>
          <w:sz w:val="24"/>
          <w:szCs w:val="24"/>
        </w:rPr>
        <w:t>（</w:t>
      </w:r>
      <w:r>
        <w:rPr>
          <w:rFonts w:hint="eastAsia" w:ascii="宋体" w:hAnsi="宋体" w:cs="宋体"/>
          <w:sz w:val="24"/>
          <w:szCs w:val="24"/>
          <w:lang w:val="en-US" w:eastAsia="zh-CN"/>
        </w:rPr>
        <w:t>微信转账</w:t>
      </w:r>
      <w:r>
        <w:rPr>
          <w:rFonts w:hint="eastAsia" w:ascii="宋体" w:hAnsi="宋体" w:eastAsia="宋体" w:cs="宋体"/>
          <w:sz w:val="24"/>
          <w:szCs w:val="24"/>
        </w:rPr>
        <w:t>账号：</w:t>
      </w:r>
      <w:r>
        <w:rPr>
          <w:rFonts w:hint="eastAsia" w:ascii="黑体" w:hAnsi="黑体" w:eastAsia="黑体" w:cs="黑体"/>
          <w:b/>
          <w:bCs/>
          <w:sz w:val="24"/>
          <w:szCs w:val="24"/>
          <w:lang w:val="en-US" w:eastAsia="zh-CN"/>
        </w:rPr>
        <w:t>13485103026【陆*】</w:t>
      </w:r>
      <w:r>
        <w:rPr>
          <w:rFonts w:hint="eastAsia" w:ascii="宋体" w:hAnsi="宋体" w:eastAsia="宋体" w:cs="宋体"/>
          <w:sz w:val="24"/>
          <w:szCs w:val="24"/>
        </w:rPr>
        <w:t>。</w:t>
      </w:r>
      <w:r>
        <w:rPr>
          <w:rFonts w:hint="eastAsia" w:ascii="黑体" w:hAnsi="黑体" w:eastAsia="黑体" w:cs="黑体"/>
          <w:b/>
          <w:bCs/>
          <w:sz w:val="24"/>
          <w:szCs w:val="24"/>
          <w:lang w:val="en-US" w:eastAsia="zh-CN"/>
        </w:rPr>
        <w:t>转账时请注明单位名称及投标项目名称</w:t>
      </w:r>
      <w:r>
        <w:rPr>
          <w:rFonts w:hint="eastAsia" w:ascii="宋体" w:hAnsi="宋体" w:eastAsia="宋体" w:cs="宋体"/>
          <w:sz w:val="24"/>
          <w:szCs w:val="24"/>
        </w:rPr>
        <w:t>）</w:t>
      </w:r>
      <w:r>
        <w:rPr>
          <w:rFonts w:hint="eastAsia" w:ascii="宋体" w:hAnsi="宋体" w:cs="宋体"/>
          <w:sz w:val="24"/>
          <w:szCs w:val="24"/>
          <w:lang w:eastAsia="zh-CN"/>
        </w:rPr>
        <w:t>。</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1</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21</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2、递交投标文件时间：</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1</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26</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1时00分</w:t>
      </w:r>
      <w:r>
        <w:rPr>
          <w:rFonts w:hint="eastAsia" w:ascii="宋体" w:hAnsi="宋体" w:eastAsia="宋体" w:cs="宋体"/>
          <w:sz w:val="24"/>
          <w:szCs w:val="24"/>
          <w:highlight w:val="none"/>
          <w:lang w:val="en-US" w:eastAsia="zh-CN"/>
        </w:rPr>
        <w:t>前</w:t>
      </w:r>
      <w:r>
        <w:rPr>
          <w:rFonts w:hint="eastAsia" w:ascii="宋体" w:hAnsi="宋体" w:eastAsia="宋体" w:cs="宋体"/>
          <w:sz w:val="24"/>
          <w:szCs w:val="24"/>
          <w:highlight w:val="none"/>
        </w:rPr>
        <w:t>将投标文件（要求密封）递交我校资产与基建处</w:t>
      </w:r>
      <w:r>
        <w:rPr>
          <w:rFonts w:hint="eastAsia" w:ascii="宋体" w:hAnsi="宋体" w:eastAsia="宋体" w:cs="宋体"/>
          <w:sz w:val="24"/>
          <w:szCs w:val="24"/>
          <w:highlight w:val="none"/>
          <w:lang w:val="en-US" w:eastAsia="zh-CN"/>
        </w:rPr>
        <w:t>资产</w:t>
      </w:r>
      <w:r>
        <w:rPr>
          <w:rFonts w:hint="eastAsia" w:ascii="宋体" w:hAnsi="宋体" w:eastAsia="宋体" w:cs="宋体"/>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3、响应文件接收截止时间：</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1</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26</w:t>
      </w:r>
      <w:r>
        <w:rPr>
          <w:rFonts w:hint="eastAsia" w:ascii="黑体" w:hAnsi="黑体" w:eastAsia="黑体" w:cs="黑体"/>
          <w:b/>
          <w:bCs/>
          <w:sz w:val="24"/>
          <w:szCs w:val="24"/>
          <w:highlight w:val="none"/>
        </w:rPr>
        <w:t>日</w:t>
      </w:r>
      <w:r>
        <w:rPr>
          <w:rFonts w:hint="eastAsia" w:ascii="黑体" w:hAnsi="黑体" w:eastAsia="黑体" w:cs="黑体"/>
          <w:b/>
          <w:bCs/>
          <w:sz w:val="24"/>
          <w:szCs w:val="24"/>
          <w:highlight w:val="none"/>
          <w:lang w:val="en-US" w:eastAsia="zh-CN"/>
        </w:rPr>
        <w:t>11</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1"/>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1"/>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技术咨询：许老师 13921616125</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1"/>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2"/>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32</w:t>
            </w:r>
            <w:r>
              <w:rPr>
                <w:rFonts w:hint="eastAsia"/>
                <w:szCs w:val="21"/>
              </w:rPr>
              <w:t>分。▲为实质性要求，不满足作无效投标处理。其余指标有一项负偏离扣2分，扣完为止。</w:t>
            </w:r>
          </w:p>
          <w:p>
            <w:pPr>
              <w:pStyle w:val="12"/>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2"/>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lang w:val="en-US" w:eastAsia="zh-CN"/>
              </w:rPr>
            </w:pPr>
            <w:r>
              <w:rPr>
                <w:rFonts w:hint="eastAsia"/>
                <w:szCs w:val="21"/>
              </w:rPr>
              <w:t>投标人应具有</w:t>
            </w:r>
            <w:r>
              <w:rPr>
                <w:rFonts w:hint="eastAsia"/>
                <w:szCs w:val="21"/>
                <w:lang w:val="en-US" w:eastAsia="zh-CN"/>
              </w:rPr>
              <w:t>相应资质</w:t>
            </w:r>
            <w:r>
              <w:rPr>
                <w:rFonts w:hint="eastAsia"/>
                <w:szCs w:val="21"/>
              </w:rPr>
              <w:t>。提供</w:t>
            </w:r>
            <w:r>
              <w:rPr>
                <w:rFonts w:hint="eastAsia"/>
                <w:szCs w:val="21"/>
                <w:lang w:val="en-US" w:eastAsia="zh-CN"/>
              </w:rPr>
              <w:t>一项</w:t>
            </w:r>
            <w:r>
              <w:rPr>
                <w:rFonts w:hint="eastAsia"/>
                <w:szCs w:val="21"/>
              </w:rPr>
              <w:t>得1分，未提供不得分。 需提供有关证书复印件并加盖公章。</w:t>
            </w:r>
            <w:r>
              <w:rPr>
                <w:rFonts w:hint="eastAsia"/>
                <w:szCs w:val="21"/>
                <w:lang w:val="en-US" w:eastAsia="zh-CN"/>
              </w:rPr>
              <w:t>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w:t>
            </w:r>
            <w:bookmarkStart w:id="58" w:name="_GoBack"/>
            <w:bookmarkEnd w:id="58"/>
            <w:r>
              <w:rPr>
                <w:rFonts w:hint="eastAsia"/>
                <w:szCs w:val="21"/>
                <w:lang w:val="zh-TW" w:eastAsia="zh-TW"/>
              </w:rPr>
              <w:t>响应时间、处理速度、定期巡检以及技术支持、软件升级、技术培训</w:t>
            </w:r>
            <w:r>
              <w:rPr>
                <w:rFonts w:hint="eastAsia"/>
                <w:szCs w:val="21"/>
                <w:lang w:val="zh-TW" w:eastAsia="zh-CN"/>
              </w:rPr>
              <w:t>、</w:t>
            </w:r>
            <w:r>
              <w:rPr>
                <w:rFonts w:hint="eastAsia"/>
                <w:szCs w:val="21"/>
                <w:lang w:val="en-US" w:eastAsia="zh-CN"/>
              </w:rPr>
              <w:t>工期</w:t>
            </w:r>
            <w:r>
              <w:rPr>
                <w:rFonts w:hint="eastAsia"/>
                <w:szCs w:val="21"/>
                <w:lang w:val="zh-TW" w:eastAsia="zh-TW"/>
              </w:rPr>
              <w:t>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2020</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rPr>
              <w:t>1</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p>
      <w:pPr>
        <w:spacing w:line="353" w:lineRule="auto"/>
        <w:ind w:firstLine="482" w:firstLineChars="200"/>
        <w:rPr>
          <w:rFonts w:hint="default"/>
          <w:b/>
          <w:sz w:val="24"/>
          <w:lang w:val="en-US" w:eastAsia="zh-CN"/>
        </w:rPr>
      </w:pPr>
      <w:r>
        <w:rPr>
          <w:rFonts w:hint="eastAsia"/>
          <w:b/>
          <w:sz w:val="24"/>
          <w:lang w:val="en-US" w:eastAsia="zh-CN"/>
        </w:rPr>
        <w:t>详见附件</w:t>
      </w: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w:t>
      </w:r>
      <w:r>
        <w:rPr>
          <w:rFonts w:hint="eastAsia"/>
          <w:sz w:val="24"/>
        </w:rPr>
        <w:t>必须的各种软硬件培训。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3"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合同生效后45天内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w:t>
      </w:r>
      <w:r>
        <w:rPr>
          <w:rFonts w:hint="eastAsia" w:ascii="宋体" w:hAnsi="宋体" w:cs="宋体"/>
          <w:sz w:val="24"/>
          <w:szCs w:val="24"/>
          <w:lang w:val="en-US" w:eastAsia="zh-CN"/>
        </w:rPr>
        <w:t>将设备送到</w:t>
      </w:r>
      <w:r>
        <w:rPr>
          <w:rFonts w:hint="eastAsia" w:ascii="宋体" w:hAnsi="宋体" w:eastAsia="宋体" w:cs="宋体"/>
          <w:sz w:val="24"/>
          <w:szCs w:val="24"/>
        </w:rPr>
        <w:t>现场，确保按时</w:t>
      </w:r>
      <w:r>
        <w:rPr>
          <w:rFonts w:hint="eastAsia" w:ascii="宋体" w:hAnsi="宋体" w:cs="宋体"/>
          <w:sz w:val="24"/>
          <w:szCs w:val="24"/>
          <w:lang w:val="en-US" w:eastAsia="zh-CN"/>
        </w:rPr>
        <w:t>调试</w:t>
      </w:r>
      <w:r>
        <w:rPr>
          <w:rFonts w:hint="eastAsia" w:ascii="宋体" w:hAnsi="宋体" w:eastAsia="宋体" w:cs="宋体"/>
          <w:sz w:val="24"/>
          <w:szCs w:val="24"/>
        </w:rPr>
        <w:t>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供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中标人应提供完整的设备资料如设备说明书、系统设置与操作步骤等，应包含纸质资料与电子文档。项目所涉及的设备及装修材料到货时，须提供原厂商的供货证明；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spacing w:before="87" w:line="223" w:lineRule="auto"/>
        <w:ind w:left="2639"/>
        <w:rPr>
          <w:rFonts w:ascii="宋体" w:hAnsi="宋体" w:eastAsia="宋体" w:cs="宋体"/>
          <w:spacing w:val="-3"/>
          <w:sz w:val="43"/>
          <w:szCs w:val="43"/>
          <w14:textOutline w14:w="7968" w14:cap="flat" w14:cmpd="sng">
            <w14:solidFill>
              <w14:srgbClr w14:val="000000"/>
            </w14:solidFill>
            <w14:prstDash w14:val="solid"/>
            <w14:miter w14:val="0"/>
          </w14:textOutline>
        </w:rPr>
      </w:pPr>
      <w:bookmarkStart w:id="4" w:name="_Toc12022"/>
      <w:bookmarkStart w:id="5" w:name="_Toc34991461"/>
      <w:bookmarkStart w:id="6" w:name="_Toc231305090"/>
      <w:bookmarkStart w:id="7" w:name="_Toc231279156"/>
      <w:bookmarkStart w:id="8" w:name="_Toc231289932"/>
      <w:bookmarkStart w:id="9" w:name="_Toc231279247"/>
      <w:bookmarkStart w:id="10" w:name="_Toc231282228"/>
      <w:bookmarkStart w:id="11" w:name="_Toc231279666"/>
      <w:bookmarkStart w:id="12" w:name="_Toc231279737"/>
      <w:bookmarkStart w:id="13" w:name="_Toc231286901"/>
      <w:bookmarkStart w:id="14" w:name="_Toc231284489"/>
      <w:bookmarkStart w:id="15" w:name="_Toc231304988"/>
      <w:bookmarkStart w:id="16" w:name="_Toc231289905"/>
      <w:bookmarkStart w:id="17" w:name="_Toc231276966"/>
      <w:bookmarkStart w:id="18" w:name="_Toc231281339"/>
      <w:bookmarkStart w:id="19" w:name="_Toc231280344"/>
      <w:bookmarkStart w:id="20" w:name="_Toc231289771"/>
      <w:bookmarkStart w:id="21" w:name="_Toc231280938"/>
      <w:bookmarkStart w:id="22" w:name="_Toc231280804"/>
      <w:bookmarkStart w:id="23" w:name="_Toc231279586"/>
      <w:bookmarkStart w:id="24" w:name="_Toc231281705"/>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3"/>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3"/>
        <w:rPr>
          <w:rFonts w:ascii="宋体" w:hAnsi="宋体"/>
          <w:b/>
          <w:bCs w:val="0"/>
          <w:color w:val="000000"/>
          <w:sz w:val="21"/>
          <w:szCs w:val="21"/>
        </w:rPr>
      </w:pPr>
      <w:bookmarkStart w:id="25" w:name="_Toc30593"/>
      <w:bookmarkStart w:id="26" w:name="_Toc34991462"/>
      <w:bookmarkStart w:id="27" w:name="_Toc231286904"/>
      <w:bookmarkStart w:id="28" w:name="_Toc231304991"/>
      <w:bookmarkStart w:id="29" w:name="_Toc231305093"/>
      <w:bookmarkStart w:id="30" w:name="_Toc231279589"/>
      <w:bookmarkStart w:id="31" w:name="_Toc231282231"/>
      <w:bookmarkStart w:id="32" w:name="_Toc231281342"/>
      <w:bookmarkStart w:id="33" w:name="_Toc231289908"/>
      <w:bookmarkStart w:id="34" w:name="_Toc231280941"/>
      <w:bookmarkStart w:id="35" w:name="_Toc231284492"/>
      <w:bookmarkStart w:id="36" w:name="_Toc231281708"/>
      <w:bookmarkStart w:id="37" w:name="_Toc231289935"/>
      <w:bookmarkStart w:id="38" w:name="_Toc231280807"/>
      <w:bookmarkStart w:id="39" w:name="_Toc407266082"/>
      <w:bookmarkStart w:id="40" w:name="_Toc231279740"/>
      <w:bookmarkStart w:id="41" w:name="_Toc231280347"/>
      <w:bookmarkStart w:id="42" w:name="_Toc231289774"/>
      <w:bookmarkStart w:id="43" w:name="_Toc231279669"/>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3"/>
        <w:rPr>
          <w:rFonts w:ascii="宋体"/>
          <w:b w:val="0"/>
          <w:color w:val="000000"/>
          <w:sz w:val="36"/>
          <w:szCs w:val="36"/>
        </w:rPr>
      </w:pPr>
      <w:r>
        <w:rPr>
          <w:rFonts w:ascii="宋体"/>
          <w:color w:val="000000"/>
          <w:spacing w:val="4"/>
          <w:sz w:val="24"/>
        </w:rPr>
        <w:br w:type="page"/>
      </w:r>
      <w:bookmarkStart w:id="44" w:name="_Toc34991463"/>
      <w:bookmarkStart w:id="45" w:name="_Toc7052"/>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3"/>
        <w:rPr>
          <w:rFonts w:ascii="宋体" w:hAnsi="宋体"/>
          <w:color w:val="000000"/>
          <w:spacing w:val="4"/>
          <w:sz w:val="24"/>
        </w:rPr>
      </w:pPr>
    </w:p>
    <w:p>
      <w:pPr>
        <w:pStyle w:val="3"/>
        <w:rPr>
          <w:rFonts w:ascii="宋体" w:hAnsi="宋体"/>
          <w:color w:val="000000"/>
          <w:spacing w:val="4"/>
          <w:sz w:val="24"/>
        </w:rPr>
      </w:pPr>
      <w:r>
        <w:rPr>
          <w:rFonts w:ascii="宋体" w:hAnsi="宋体"/>
          <w:color w:val="000000"/>
          <w:spacing w:val="4"/>
          <w:sz w:val="24"/>
        </w:rPr>
        <w:br w:type="page"/>
      </w:r>
      <w:bookmarkStart w:id="46" w:name="_Toc8152"/>
      <w:bookmarkStart w:id="47" w:name="_Toc34991464"/>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7"/>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3"/>
        <w:rPr>
          <w:rFonts w:ascii="宋体"/>
          <w:b w:val="0"/>
          <w:color w:val="000000"/>
          <w:sz w:val="36"/>
          <w:szCs w:val="36"/>
        </w:rPr>
      </w:pPr>
      <w:r>
        <w:rPr>
          <w:rFonts w:ascii="宋体"/>
          <w:color w:val="000000"/>
          <w:sz w:val="24"/>
        </w:rPr>
        <w:br w:type="page"/>
      </w:r>
      <w:bookmarkStart w:id="48" w:name="_Toc34991465"/>
      <w:bookmarkStart w:id="49" w:name="_Toc17756"/>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3"/>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3"/>
        <w:rPr>
          <w:color w:val="000000"/>
        </w:rPr>
      </w:pPr>
      <w:bookmarkStart w:id="52" w:name="_Toc13075"/>
      <w:bookmarkStart w:id="53" w:name="_Toc34991467"/>
      <w:r>
        <w:rPr>
          <w:color w:val="000000"/>
          <w:sz w:val="21"/>
          <w:szCs w:val="24"/>
        </w:rPr>
        <mc:AlternateContent>
          <mc:Choice Requires="wps">
            <w:drawing>
              <wp:anchor distT="0" distB="0" distL="114300" distR="114300" simplePos="0" relativeHeight="251661312"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1312;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59264;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2336;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0288;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7"/>
        <w:spacing w:line="290" w:lineRule="auto"/>
      </w:pPr>
    </w:p>
    <w:p>
      <w:pPr>
        <w:pStyle w:val="7"/>
        <w:spacing w:line="290" w:lineRule="auto"/>
      </w:pPr>
    </w:p>
    <w:p>
      <w:pPr>
        <w:pStyle w:val="7"/>
        <w:spacing w:line="291" w:lineRule="auto"/>
      </w:pPr>
    </w:p>
    <w:p>
      <w:pPr>
        <w:pStyle w:val="7"/>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7"/>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3"/>
        <w:rPr>
          <w:color w:val="000000"/>
        </w:rPr>
      </w:pPr>
    </w:p>
    <w:p>
      <w:pPr>
        <w:pStyle w:val="3"/>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7"/>
        <w:spacing w:line="317" w:lineRule="auto"/>
      </w:pPr>
    </w:p>
    <w:p>
      <w:pPr>
        <w:pStyle w:val="7"/>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7"/>
        <w:spacing w:line="244" w:lineRule="auto"/>
      </w:pPr>
    </w:p>
    <w:p>
      <w:pPr>
        <w:pStyle w:val="7"/>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2"/>
        <w:rPr>
          <w:rFonts w:ascii="宋体" w:hAnsi="宋体" w:eastAsia="宋体" w:cs="宋体"/>
          <w:spacing w:val="-10"/>
          <w:sz w:val="28"/>
          <w:szCs w:val="28"/>
        </w:rPr>
      </w:pPr>
    </w:p>
    <w:p>
      <w:pPr>
        <w:pStyle w:val="3"/>
        <w:rPr>
          <w:b w:val="0"/>
          <w:color w:val="000000"/>
          <w:sz w:val="44"/>
          <w:szCs w:val="44"/>
        </w:rPr>
      </w:pPr>
      <w:bookmarkStart w:id="56" w:name="_Toc34991468"/>
      <w:bookmarkStart w:id="57" w:name="_Toc30136"/>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2"/>
        <w:rPr>
          <w:rFonts w:ascii="宋体" w:hAnsi="宋体" w:eastAsia="宋体" w:cs="宋体"/>
          <w:spacing w:val="-10"/>
          <w:sz w:val="28"/>
          <w:szCs w:val="28"/>
        </w:rPr>
      </w:pPr>
    </w:p>
    <w:sectPr>
      <w:headerReference r:id="rId4" w:type="default"/>
      <w:footerReference r:id="rId5"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4EF7BB"/>
    <w:multiLevelType w:val="singleLevel"/>
    <w:tmpl w:val="3A4EF7B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6575D6"/>
    <w:rsid w:val="11A007F3"/>
    <w:rsid w:val="12981050"/>
    <w:rsid w:val="13841069"/>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78545F"/>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8564DD"/>
    <w:rsid w:val="26F90805"/>
    <w:rsid w:val="27181100"/>
    <w:rsid w:val="27202030"/>
    <w:rsid w:val="272950BB"/>
    <w:rsid w:val="27397933"/>
    <w:rsid w:val="275444B5"/>
    <w:rsid w:val="28700AC7"/>
    <w:rsid w:val="29552D45"/>
    <w:rsid w:val="29CD1C30"/>
    <w:rsid w:val="2A70221C"/>
    <w:rsid w:val="2B8453D4"/>
    <w:rsid w:val="2C432879"/>
    <w:rsid w:val="2C627C4F"/>
    <w:rsid w:val="2C773E2D"/>
    <w:rsid w:val="2D202ABC"/>
    <w:rsid w:val="2D2B3EDE"/>
    <w:rsid w:val="2D6C3CDD"/>
    <w:rsid w:val="2DCE28FC"/>
    <w:rsid w:val="2E832474"/>
    <w:rsid w:val="2EBD433B"/>
    <w:rsid w:val="2EFF1B09"/>
    <w:rsid w:val="2F3945C8"/>
    <w:rsid w:val="2FD7142C"/>
    <w:rsid w:val="30063CE0"/>
    <w:rsid w:val="302A3C52"/>
    <w:rsid w:val="30830122"/>
    <w:rsid w:val="308560E4"/>
    <w:rsid w:val="30ED7B79"/>
    <w:rsid w:val="30FB2C26"/>
    <w:rsid w:val="3166515D"/>
    <w:rsid w:val="31C854D0"/>
    <w:rsid w:val="324575E5"/>
    <w:rsid w:val="32596A25"/>
    <w:rsid w:val="34106280"/>
    <w:rsid w:val="342F3A6A"/>
    <w:rsid w:val="34652CD6"/>
    <w:rsid w:val="358677E9"/>
    <w:rsid w:val="35F966E1"/>
    <w:rsid w:val="364E7665"/>
    <w:rsid w:val="36971C9C"/>
    <w:rsid w:val="36D601E8"/>
    <w:rsid w:val="371C5AC4"/>
    <w:rsid w:val="37E27915"/>
    <w:rsid w:val="383F7F67"/>
    <w:rsid w:val="389D2E5E"/>
    <w:rsid w:val="38E8560F"/>
    <w:rsid w:val="391C0B65"/>
    <w:rsid w:val="39CE671F"/>
    <w:rsid w:val="39FF1CAB"/>
    <w:rsid w:val="3A6B3EB0"/>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0B0DB2"/>
    <w:rsid w:val="616B0426"/>
    <w:rsid w:val="61B91426"/>
    <w:rsid w:val="62126170"/>
    <w:rsid w:val="628726BA"/>
    <w:rsid w:val="62B03E2D"/>
    <w:rsid w:val="635C1859"/>
    <w:rsid w:val="63C92C54"/>
    <w:rsid w:val="63F9140D"/>
    <w:rsid w:val="64F8789F"/>
    <w:rsid w:val="65DB3287"/>
    <w:rsid w:val="65EB428F"/>
    <w:rsid w:val="66093965"/>
    <w:rsid w:val="67784E22"/>
    <w:rsid w:val="67E75076"/>
    <w:rsid w:val="68435C26"/>
    <w:rsid w:val="688345E5"/>
    <w:rsid w:val="68BA0E02"/>
    <w:rsid w:val="68BA3557"/>
    <w:rsid w:val="68FA0664"/>
    <w:rsid w:val="69036A8A"/>
    <w:rsid w:val="69D525EC"/>
    <w:rsid w:val="6BC1223C"/>
    <w:rsid w:val="6BE33FA7"/>
    <w:rsid w:val="6BF55A4E"/>
    <w:rsid w:val="6C465F5C"/>
    <w:rsid w:val="6C6178D9"/>
    <w:rsid w:val="6D95791B"/>
    <w:rsid w:val="6FDD7144"/>
    <w:rsid w:val="70281CF1"/>
    <w:rsid w:val="70B34FC2"/>
    <w:rsid w:val="71294FA1"/>
    <w:rsid w:val="71885DD2"/>
    <w:rsid w:val="71D72C0E"/>
    <w:rsid w:val="71E219F3"/>
    <w:rsid w:val="72224E32"/>
    <w:rsid w:val="72370CB6"/>
    <w:rsid w:val="72963BA6"/>
    <w:rsid w:val="729907F9"/>
    <w:rsid w:val="72C47013"/>
    <w:rsid w:val="732B25B2"/>
    <w:rsid w:val="73CC7AC9"/>
    <w:rsid w:val="747554DC"/>
    <w:rsid w:val="74E90FB2"/>
    <w:rsid w:val="7548217D"/>
    <w:rsid w:val="75812F99"/>
    <w:rsid w:val="759728B6"/>
    <w:rsid w:val="75B94E29"/>
    <w:rsid w:val="763A7532"/>
    <w:rsid w:val="7662297F"/>
    <w:rsid w:val="77C16289"/>
    <w:rsid w:val="77C819C8"/>
    <w:rsid w:val="77D53B6D"/>
    <w:rsid w:val="77F9775E"/>
    <w:rsid w:val="78246CD9"/>
    <w:rsid w:val="78930A25"/>
    <w:rsid w:val="79427311"/>
    <w:rsid w:val="7A5806A3"/>
    <w:rsid w:val="7A835A7B"/>
    <w:rsid w:val="7A9018C8"/>
    <w:rsid w:val="7AE077B3"/>
    <w:rsid w:val="7B7E5661"/>
    <w:rsid w:val="7C0204A3"/>
    <w:rsid w:val="7C5807CC"/>
    <w:rsid w:val="7C6A78A5"/>
    <w:rsid w:val="7C807AD4"/>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3"/>
    <w:autoRedefine/>
    <w:unhideWhenUsed/>
    <w:qFormat/>
    <w:uiPriority w:val="0"/>
    <w:pPr>
      <w:keepNext/>
      <w:keepLines/>
      <w:spacing w:before="260" w:after="260" w:line="416" w:lineRule="auto"/>
      <w:outlineLvl w:val="2"/>
    </w:pPr>
    <w:rPr>
      <w:b/>
      <w:bCs/>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link w:val="28"/>
    <w:autoRedefine/>
    <w:unhideWhenUsed/>
    <w:qFormat/>
    <w:uiPriority w:val="99"/>
    <w:pPr>
      <w:jc w:val="left"/>
    </w:pPr>
    <w:rPr>
      <w:szCs w:val="21"/>
    </w:rPr>
  </w:style>
  <w:style w:type="paragraph" w:styleId="7">
    <w:name w:val="Body Text"/>
    <w:basedOn w:val="1"/>
    <w:link w:val="24"/>
    <w:autoRedefine/>
    <w:qFormat/>
    <w:uiPriority w:val="0"/>
    <w:pPr>
      <w:snapToGrid w:val="0"/>
      <w:spacing w:before="120" w:after="120" w:line="360" w:lineRule="auto"/>
    </w:pPr>
    <w:rPr>
      <w:rFonts w:ascii="宋体" w:hAnsi="宋体"/>
      <w:sz w:val="24"/>
      <w:szCs w:val="20"/>
    </w:rPr>
  </w:style>
  <w:style w:type="paragraph" w:styleId="8">
    <w:name w:val="Plain Text"/>
    <w:basedOn w:val="1"/>
    <w:link w:val="25"/>
    <w:autoRedefine/>
    <w:qFormat/>
    <w:uiPriority w:val="0"/>
    <w:rPr>
      <w:rFonts w:ascii="宋体" w:hAnsi="Courier New"/>
      <w:szCs w:val="20"/>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Autospacing="1" w:afterAutospacing="1"/>
      <w:jc w:val="left"/>
    </w:pPr>
    <w:rPr>
      <w:rFonts w:ascii="Calibri" w:hAnsi="Calibri"/>
      <w:kern w:val="0"/>
      <w:sz w:val="24"/>
    </w:rPr>
  </w:style>
  <w:style w:type="paragraph" w:styleId="12">
    <w:name w:val="Body Text First Indent"/>
    <w:basedOn w:val="7"/>
    <w:autoRedefine/>
    <w:qFormat/>
    <w:uiPriority w:val="99"/>
    <w:pPr>
      <w:ind w:firstLine="420" w:firstLineChars="100"/>
    </w:p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rPr>
      <w:rFonts w:ascii="Times New Roman" w:hAnsi="Times New Roman" w:eastAsia="宋体" w:cs="Times New Roman"/>
    </w:rPr>
  </w:style>
  <w:style w:type="character" w:styleId="17">
    <w:name w:val="Hyperlink"/>
    <w:basedOn w:val="15"/>
    <w:unhideWhenUsed/>
    <w:qFormat/>
    <w:uiPriority w:val="99"/>
    <w:rPr>
      <w:color w:val="0000FF"/>
      <w:u w:val="single"/>
    </w:rPr>
  </w:style>
  <w:style w:type="paragraph" w:customStyle="1" w:styleId="18">
    <w:name w:val="Default"/>
    <w:next w:val="1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1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
    <w:name w:val="列出段落1"/>
    <w:basedOn w:val="1"/>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4"/>
    <w:autoRedefine/>
    <w:semiHidden/>
    <w:qFormat/>
    <w:uiPriority w:val="0"/>
    <w:rPr>
      <w:b/>
      <w:bCs/>
      <w:kern w:val="2"/>
      <w:sz w:val="32"/>
      <w:szCs w:val="32"/>
    </w:rPr>
  </w:style>
  <w:style w:type="character" w:customStyle="1" w:styleId="24">
    <w:name w:val="正文文本 字符"/>
    <w:link w:val="7"/>
    <w:autoRedefine/>
    <w:qFormat/>
    <w:uiPriority w:val="0"/>
    <w:rPr>
      <w:rFonts w:ascii="宋体" w:hAnsi="宋体"/>
      <w:kern w:val="2"/>
      <w:sz w:val="24"/>
    </w:rPr>
  </w:style>
  <w:style w:type="character" w:customStyle="1" w:styleId="25">
    <w:name w:val="纯文本 字符"/>
    <w:link w:val="8"/>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5"/>
    <w:link w:val="6"/>
    <w:qFormat/>
    <w:uiPriority w:val="99"/>
    <w:rPr>
      <w:kern w:val="2"/>
      <w:sz w:val="21"/>
      <w:szCs w:val="21"/>
    </w:rPr>
  </w:style>
  <w:style w:type="character" w:customStyle="1" w:styleId="29">
    <w:name w:val="15"/>
    <w:basedOn w:val="15"/>
    <w:autoRedefine/>
    <w:qFormat/>
    <w:uiPriority w:val="0"/>
    <w:rPr>
      <w:rFonts w:hint="eastAsia" w:ascii="宋体" w:hAnsi="宋体" w:eastAsia="宋体"/>
      <w:color w:val="000000"/>
      <w:sz w:val="20"/>
      <w:szCs w:val="20"/>
    </w:rPr>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11</TotalTime>
  <ScaleCrop>false</ScaleCrop>
  <LinksUpToDate>false</LinksUpToDate>
  <CharactersWithSpaces>11267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2024-01-14T07:22:07Z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6595B93F6EBA4EE785185F3806FEC763_13</vt:lpwstr>
  </property>
</Properties>
</file>