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0"/>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rFonts w:hint="default"/>
          <w:szCs w:val="21"/>
          <w:lang w:val="en-US"/>
        </w:rPr>
      </w:pPr>
      <w:r>
        <w:rPr>
          <w:rFonts w:hint="eastAsia" w:ascii="宋体" w:hAnsi="宋体" w:cs="宋体"/>
          <w:b/>
          <w:bCs/>
          <w:sz w:val="32"/>
          <w:szCs w:val="32"/>
        </w:rPr>
        <w:t>项目名称：</w:t>
      </w:r>
      <w:r>
        <w:rPr>
          <w:rFonts w:hint="eastAsia" w:ascii="黑体" w:hAnsi="黑体" w:eastAsia="黑体" w:cs="黑体"/>
          <w:b/>
          <w:bCs/>
          <w:sz w:val="32"/>
          <w:szCs w:val="32"/>
          <w:lang w:val="en-US" w:eastAsia="zh-CN"/>
        </w:rPr>
        <w:t>实验室安全管理系统采购项目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ZCZB2024017</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ind w:left="0" w:leftChars="0" w:firstLine="0" w:firstLineChars="0"/>
        <w:rPr>
          <w:rFonts w:hint="eastAsia" w:asciiTheme="majorEastAsia" w:hAnsiTheme="majorEastAsia" w:eastAsiaTheme="majorEastAsia" w:cstheme="majorEastAsia"/>
          <w:b/>
          <w:bCs/>
          <w:sz w:val="32"/>
          <w:szCs w:val="32"/>
          <w:highlight w:val="none"/>
        </w:rPr>
      </w:pPr>
    </w:p>
    <w:p>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月</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pPr>
        <w:spacing w:line="400" w:lineRule="exact"/>
        <w:ind w:firstLine="560" w:firstLineChars="200"/>
        <w:rPr>
          <w:rFonts w:ascii="仿宋" w:hAnsi="仿宋" w:eastAsia="仿宋" w:cs="仿宋"/>
          <w:color w:val="auto"/>
          <w:sz w:val="28"/>
          <w:szCs w:val="28"/>
        </w:rPr>
      </w:pP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实验室安全管理系统采购</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pPr>
        <w:spacing w:line="360" w:lineRule="exact"/>
        <w:ind w:left="-1" w:firstLine="480" w:firstLineChars="200"/>
        <w:rPr>
          <w:rFonts w:hint="default" w:ascii="宋体" w:hAnsi="宋体" w:eastAsia="宋体" w:cs="宋体"/>
          <w:sz w:val="24"/>
          <w:szCs w:val="24"/>
          <w:lang w:val="en-US"/>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实验室安全管理系统采购项目</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pPr>
        <w:spacing w:line="360" w:lineRule="exact"/>
        <w:ind w:left="-1"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和附件技术参数。</w:t>
      </w:r>
    </w:p>
    <w:p>
      <w:pPr>
        <w:spacing w:line="360" w:lineRule="exact"/>
        <w:ind w:left="-1"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3、项目概况：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江苏省南通市</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南通理工学</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院</w:t>
      </w:r>
    </w:p>
    <w:p>
      <w:pPr>
        <w:spacing w:line="360" w:lineRule="exact"/>
        <w:ind w:left="-1" w:firstLine="480" w:firstLineChars="200"/>
        <w:rPr>
          <w:rFonts w:hint="eastAsia" w:ascii="宋体" w:hAnsi="宋体" w:eastAsia="宋体" w:cs="宋体"/>
          <w:sz w:val="24"/>
          <w:szCs w:val="24"/>
          <w:lang w:val="en-US"/>
        </w:rPr>
      </w:pPr>
      <w:r>
        <w:rPr>
          <w:rFonts w:hint="eastAsia" w:ascii="宋体" w:hAnsi="宋体" w:eastAsia="宋体" w:cs="宋体"/>
          <w:sz w:val="24"/>
          <w:szCs w:val="24"/>
        </w:rPr>
        <w:t>4、工期要求</w:t>
      </w:r>
      <w:r>
        <w:rPr>
          <w:rFonts w:hint="eastAsia" w:ascii="宋体" w:hAnsi="宋体" w:eastAsia="宋体" w:cs="宋体"/>
          <w:sz w:val="24"/>
          <w:szCs w:val="24"/>
          <w:highlight w:val="none"/>
        </w:rPr>
        <w:t>：</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2024年</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6</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20</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日前交付使用。</w:t>
      </w:r>
    </w:p>
    <w:p>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1、中国境内合法注册的企业法人；</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2、具有本次采购项目的供货、安装、售后服务等的相应能力和经验；</w:t>
      </w:r>
    </w:p>
    <w:p>
      <w:pPr>
        <w:spacing w:line="360" w:lineRule="exact"/>
        <w:ind w:left="-1"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3、采购项目的生产厂家或经销商</w:t>
      </w:r>
      <w:r>
        <w:rPr>
          <w:rFonts w:hint="eastAsia" w:ascii="宋体" w:hAnsi="宋体" w:eastAsia="宋体" w:cs="宋体"/>
          <w:sz w:val="24"/>
          <w:szCs w:val="24"/>
          <w:lang w:eastAsia="zh-CN"/>
        </w:rPr>
        <w:t>；</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4、供应商不得存在下列情况之一：</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（1）供应商最近三年内被“信用中国（www.creditchina.gov.cn）</w:t>
      </w:r>
      <w:r>
        <w:rPr>
          <w:rFonts w:hint="eastAsia" w:ascii="宋体" w:hAnsi="宋体" w:cs="宋体"/>
          <w:sz w:val="24"/>
          <w:szCs w:val="24"/>
          <w:lang w:eastAsia="zh-CN"/>
        </w:rPr>
        <w:t>”“</w:t>
      </w:r>
      <w:r>
        <w:rPr>
          <w:rFonts w:hint="eastAsia" w:ascii="宋体" w:hAnsi="宋体" w:eastAsia="宋体" w:cs="宋体"/>
          <w:sz w:val="24"/>
          <w:szCs w:val="24"/>
        </w:rPr>
        <w:t>中国政府 采购网（www.ccgp.gov.cn）</w:t>
      </w:r>
      <w:r>
        <w:rPr>
          <w:rFonts w:hint="eastAsia" w:ascii="宋体" w:hAnsi="宋体" w:cs="宋体"/>
          <w:sz w:val="24"/>
          <w:szCs w:val="24"/>
          <w:lang w:eastAsia="zh-CN"/>
        </w:rPr>
        <w:t>”“</w:t>
      </w:r>
      <w:r>
        <w:rPr>
          <w:rFonts w:hint="eastAsia" w:ascii="宋体" w:hAnsi="宋体" w:eastAsia="宋体" w:cs="宋体"/>
          <w:sz w:val="24"/>
          <w:szCs w:val="24"/>
        </w:rPr>
        <w:t>信用江苏（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"http://credit.jiangsu.gov.cn"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http://credit.jiangsu.gov.cn</w:t>
      </w:r>
      <w:r>
        <w:rPr>
          <w:rFonts w:hint="eastAsia" w:ascii="宋体" w:hAnsi="宋体" w:eastAsia="宋体" w:cs="宋体"/>
          <w:sz w:val="24"/>
          <w:szCs w:val="24"/>
        </w:rPr>
        <w:fldChar w:fldCharType="end"/>
      </w:r>
      <w:r>
        <w:rPr>
          <w:rFonts w:hint="eastAsia" w:ascii="宋体" w:hAnsi="宋体" w:eastAsia="宋体" w:cs="宋体"/>
          <w:sz w:val="24"/>
          <w:szCs w:val="24"/>
        </w:rPr>
        <w:t>）”网站列 入失信执行人、税收违法案件当事人名单、政府采购违法失信行为记录名单（处罚期限尚未届满）。</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（2）法定代表人为同一人的两个及</w:t>
      </w:r>
      <w:r>
        <w:rPr>
          <w:rFonts w:hint="eastAsia" w:ascii="宋体" w:hAnsi="宋体" w:cs="宋体"/>
          <w:sz w:val="24"/>
          <w:szCs w:val="24"/>
          <w:lang w:eastAsia="zh-CN"/>
        </w:rPr>
        <w:t>两</w:t>
      </w:r>
      <w:r>
        <w:rPr>
          <w:rFonts w:hint="eastAsia" w:ascii="宋体" w:hAnsi="宋体" w:cs="宋体"/>
          <w:sz w:val="24"/>
          <w:szCs w:val="24"/>
          <w:lang w:val="en-US" w:eastAsia="zh-CN"/>
        </w:rPr>
        <w:t>个</w:t>
      </w:r>
      <w:r>
        <w:rPr>
          <w:rFonts w:hint="eastAsia" w:ascii="宋体" w:hAnsi="宋体" w:eastAsia="宋体" w:cs="宋体"/>
          <w:sz w:val="24"/>
          <w:szCs w:val="24"/>
        </w:rPr>
        <w:t>以上法人，母公司、全资子公司及其控股公司不得在本项目采购招标中同时参加。</w:t>
      </w:r>
    </w:p>
    <w:p>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三、投标人资格审查方式：资格后审。</w:t>
      </w:r>
    </w:p>
    <w:p>
      <w:pPr>
        <w:spacing w:before="136" w:line="219" w:lineRule="auto"/>
        <w:ind w:left="484"/>
        <w:rPr>
          <w:rFonts w:ascii="宋体" w:hAnsi="宋体" w:eastAsia="宋体" w:cs="宋体"/>
          <w:sz w:val="24"/>
          <w:szCs w:val="24"/>
        </w:rPr>
      </w:pPr>
      <w:r>
        <w:rPr>
          <w:rFonts w:hint="eastAsia" w:ascii="宋体" w:hAnsi="宋体" w:eastAsia="宋体" w:cs="宋体"/>
          <w:b/>
          <w:bCs/>
          <w:sz w:val="24"/>
          <w:szCs w:val="24"/>
        </w:rPr>
        <w:t>四、招标文件获取：</w:t>
      </w:r>
      <w:r>
        <w:rPr>
          <w:rFonts w:ascii="宋体" w:hAnsi="宋体" w:eastAsia="宋体" w:cs="宋体"/>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spacing w:val="2"/>
          <w:sz w:val="24"/>
          <w:szCs w:val="24"/>
          <w14:textOutline w14:w="4354" w14:cap="flat" w14:cmpd="sng">
            <w14:solidFill>
              <w14:srgbClr w14:val="000000"/>
            </w14:solidFill>
            <w14:prstDash w14:val="solid"/>
            <w14:miter w14:val="0"/>
          </w14:textOutline>
        </w:rPr>
        <w:t>办公室官网</w:t>
      </w:r>
    </w:p>
    <w:p>
      <w:pPr>
        <w:spacing w:before="135" w:line="420" w:lineRule="exact"/>
        <w:ind w:left="7"/>
        <w:rPr>
          <w:rFonts w:ascii="宋体" w:hAnsi="宋体" w:eastAsia="宋体" w:cs="宋体"/>
          <w:sz w:val="24"/>
          <w:szCs w:val="24"/>
        </w:rPr>
      </w:pP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position w:val="13"/>
          <w:sz w:val="21"/>
          <w:szCs w:val="21"/>
          <w:lang w:val="en-US" w:eastAsia="zh-CN"/>
        </w:rPr>
        <w:t>https://www.ntit.edu.cn/3554/</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spacing w:val="-63"/>
          <w:position w:val="13"/>
          <w:sz w:val="24"/>
          <w:szCs w:val="24"/>
        </w:rPr>
        <w:t xml:space="preserve"> </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pPr>
        <w:spacing w:line="360" w:lineRule="exact"/>
        <w:ind w:left="-1" w:firstLine="482" w:firstLineChars="200"/>
        <w:rPr>
          <w:rFonts w:hint="eastAsia" w:ascii="宋体" w:hAnsi="宋体" w:eastAsia="宋体" w:cs="宋体"/>
          <w:sz w:val="24"/>
          <w:szCs w:val="24"/>
        </w:rPr>
      </w:pPr>
      <w:r>
        <w:rPr>
          <w:rFonts w:hint="eastAsia" w:ascii="宋体" w:hAnsi="宋体" w:eastAsia="宋体" w:cs="宋体"/>
          <w:b/>
          <w:bCs/>
          <w:sz w:val="24"/>
          <w:szCs w:val="24"/>
        </w:rPr>
        <w:t>五、招标文件售价：</w:t>
      </w:r>
      <w:r>
        <w:rPr>
          <w:rFonts w:hint="eastAsia" w:ascii="黑体" w:hAnsi="黑体" w:eastAsia="黑体" w:cs="黑体"/>
          <w:b/>
          <w:bCs/>
          <w:sz w:val="24"/>
          <w:szCs w:val="24"/>
        </w:rPr>
        <w:t>人民币</w:t>
      </w:r>
      <w:r>
        <w:rPr>
          <w:rFonts w:hint="eastAsia" w:ascii="黑体" w:hAnsi="黑体" w:eastAsia="黑体" w:cs="黑体"/>
          <w:b/>
          <w:bCs/>
          <w:sz w:val="24"/>
          <w:szCs w:val="24"/>
          <w:lang w:val="en-US" w:eastAsia="zh-CN"/>
        </w:rPr>
        <w:t>300</w:t>
      </w:r>
      <w:r>
        <w:rPr>
          <w:rFonts w:hint="eastAsia" w:ascii="黑体" w:hAnsi="黑体" w:eastAsia="黑体" w:cs="黑体"/>
          <w:b/>
          <w:bCs/>
          <w:sz w:val="24"/>
          <w:szCs w:val="24"/>
        </w:rPr>
        <w:t>元</w:t>
      </w:r>
      <w:r>
        <w:rPr>
          <w:rFonts w:hint="eastAsia" w:ascii="宋体" w:hAnsi="宋体" w:eastAsia="宋体" w:cs="宋体"/>
          <w:sz w:val="24"/>
          <w:szCs w:val="24"/>
        </w:rPr>
        <w:t>（</w:t>
      </w:r>
      <w:r>
        <w:rPr>
          <w:rFonts w:hint="eastAsia" w:ascii="宋体" w:hAnsi="宋体" w:cs="宋体"/>
          <w:sz w:val="24"/>
          <w:szCs w:val="24"/>
          <w:lang w:val="en-US" w:eastAsia="zh-CN"/>
        </w:rPr>
        <w:t>微信</w:t>
      </w:r>
      <w:r>
        <w:rPr>
          <w:rFonts w:hint="eastAsia" w:ascii="宋体" w:hAnsi="宋体" w:eastAsia="宋体" w:cs="宋体"/>
          <w:sz w:val="24"/>
          <w:szCs w:val="24"/>
        </w:rPr>
        <w:t>账号：</w:t>
      </w:r>
      <w:r>
        <w:rPr>
          <w:rFonts w:hint="eastAsia" w:ascii="黑体" w:hAnsi="黑体" w:eastAsia="黑体" w:cs="黑体"/>
          <w:b/>
          <w:bCs/>
          <w:sz w:val="24"/>
          <w:szCs w:val="24"/>
          <w:lang w:val="en-US" w:eastAsia="zh-CN"/>
        </w:rPr>
        <w:t>13485103026【陆*】</w:t>
      </w:r>
      <w:r>
        <w:rPr>
          <w:rFonts w:hint="eastAsia" w:ascii="宋体" w:hAnsi="宋体" w:eastAsia="宋体" w:cs="宋体"/>
          <w:sz w:val="24"/>
          <w:szCs w:val="24"/>
        </w:rPr>
        <w:t>。报名前缴纳，售后不退）。</w:t>
      </w:r>
    </w:p>
    <w:p>
      <w:pPr>
        <w:autoSpaceDE w:val="0"/>
        <w:spacing w:line="360" w:lineRule="exact"/>
        <w:ind w:firstLine="482" w:firstLineChars="200"/>
        <w:jc w:val="left"/>
        <w:rPr>
          <w:rFonts w:hint="eastAsia" w:ascii="宋体" w:hAnsi="宋体" w:eastAsia="宋体" w:cs="宋体"/>
          <w:b/>
          <w:bCs/>
          <w:color w:val="000000"/>
          <w:kern w:val="0"/>
          <w:sz w:val="24"/>
          <w:szCs w:val="24"/>
          <w:lang w:bidi="ar"/>
        </w:rPr>
      </w:pPr>
      <w:r>
        <w:rPr>
          <w:rFonts w:hint="eastAsia" w:ascii="宋体" w:hAnsi="宋体" w:cs="宋体"/>
          <w:b/>
          <w:bCs/>
          <w:color w:val="000000"/>
          <w:kern w:val="0"/>
          <w:sz w:val="24"/>
          <w:szCs w:val="24"/>
          <w:lang w:val="en-US" w:eastAsia="zh-CN" w:bidi="ar"/>
        </w:rPr>
        <w:t>六</w:t>
      </w:r>
      <w:r>
        <w:rPr>
          <w:rFonts w:hint="eastAsia" w:ascii="宋体" w:hAnsi="宋体" w:eastAsia="宋体" w:cs="宋体"/>
          <w:b/>
          <w:bCs/>
          <w:color w:val="000000"/>
          <w:kern w:val="0"/>
          <w:sz w:val="24"/>
          <w:szCs w:val="24"/>
          <w:lang w:bidi="ar"/>
        </w:rPr>
        <w:t>、报名要求</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1、投标报名时间：潜在投标人如确定参加投标，请务必于</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5</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12</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前将“报名投标确认函”（格式见招标文件第五部分</w:t>
      </w:r>
      <w:r>
        <w:rPr>
          <w:rFonts w:hint="eastAsia" w:ascii="宋体" w:hAnsi="宋体" w:cs="宋体"/>
          <w:sz w:val="24"/>
          <w:szCs w:val="24"/>
          <w:highlight w:val="none"/>
          <w:lang w:val="en-US" w:eastAsia="zh-CN"/>
        </w:rPr>
        <w:t>附件11</w:t>
      </w:r>
      <w:r>
        <w:rPr>
          <w:rFonts w:hint="eastAsia" w:ascii="宋体" w:hAnsi="宋体" w:eastAsia="宋体" w:cs="宋体"/>
          <w:sz w:val="24"/>
          <w:szCs w:val="24"/>
          <w:highlight w:val="none"/>
        </w:rPr>
        <w:t>）填写完整后扫描</w:t>
      </w:r>
      <w:r>
        <w:rPr>
          <w:rFonts w:hint="eastAsia" w:ascii="宋体" w:hAnsi="宋体" w:cs="宋体"/>
          <w:sz w:val="24"/>
          <w:szCs w:val="24"/>
          <w:highlight w:val="none"/>
          <w:lang w:val="en-US" w:eastAsia="zh-CN"/>
        </w:rPr>
        <w:t>盖章</w:t>
      </w:r>
      <w:r>
        <w:rPr>
          <w:rFonts w:hint="eastAsia" w:ascii="宋体" w:hAnsi="宋体" w:eastAsia="宋体" w:cs="宋体"/>
          <w:sz w:val="24"/>
          <w:szCs w:val="24"/>
          <w:highlight w:val="none"/>
        </w:rPr>
        <w:t>+标书费汇款记录</w:t>
      </w:r>
      <w:r>
        <w:rPr>
          <w:rFonts w:hint="eastAsia" w:ascii="宋体" w:hAnsi="宋体" w:cs="宋体"/>
          <w:sz w:val="24"/>
          <w:szCs w:val="24"/>
          <w:highlight w:val="none"/>
          <w:lang w:val="en-US" w:eastAsia="zh-CN"/>
        </w:rPr>
        <w:t>截图</w:t>
      </w:r>
      <w:r>
        <w:rPr>
          <w:rFonts w:hint="eastAsia" w:ascii="宋体" w:hAnsi="宋体" w:eastAsia="宋体" w:cs="宋体"/>
          <w:sz w:val="24"/>
          <w:szCs w:val="24"/>
          <w:highlight w:val="none"/>
        </w:rPr>
        <w:t>，发送电子邮件至以下邮箱：caichl@ntit.edu.cn。邮件主题：***公司****项目报名。如潜在投标人未按上述要求操作，将自行承担所产生的风险。</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2、递交投标文件时间：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5</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16</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1时00分</w:t>
      </w:r>
      <w:r>
        <w:rPr>
          <w:rFonts w:hint="eastAsia" w:ascii="宋体" w:hAnsi="宋体" w:eastAsia="宋体" w:cs="宋体"/>
          <w:sz w:val="24"/>
          <w:szCs w:val="24"/>
          <w:highlight w:val="none"/>
          <w:lang w:val="en-US" w:eastAsia="zh-CN"/>
        </w:rPr>
        <w:t>前</w:t>
      </w:r>
      <w:r>
        <w:rPr>
          <w:rFonts w:hint="eastAsia" w:ascii="宋体" w:hAnsi="宋体" w:eastAsia="宋体" w:cs="宋体"/>
          <w:sz w:val="24"/>
          <w:szCs w:val="24"/>
          <w:highlight w:val="none"/>
        </w:rPr>
        <w:t>将投标文件（要求密封）递交我校资产与基建处</w:t>
      </w:r>
      <w:r>
        <w:rPr>
          <w:rFonts w:hint="eastAsia" w:ascii="宋体" w:hAnsi="宋体" w:eastAsia="宋体" w:cs="宋体"/>
          <w:sz w:val="24"/>
          <w:szCs w:val="24"/>
          <w:highlight w:val="none"/>
          <w:lang w:val="en-US" w:eastAsia="zh-CN"/>
        </w:rPr>
        <w:t>资产</w:t>
      </w:r>
      <w:r>
        <w:rPr>
          <w:rFonts w:hint="eastAsia" w:ascii="宋体" w:hAnsi="宋体" w:eastAsia="宋体" w:cs="宋体"/>
          <w:sz w:val="24"/>
          <w:szCs w:val="24"/>
          <w:highlight w:val="none"/>
        </w:rPr>
        <w:t>招标采购中心。</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3、响应文件接收截止时间：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5</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16</w:t>
      </w:r>
      <w:r>
        <w:rPr>
          <w:rFonts w:hint="eastAsia" w:ascii="黑体" w:hAnsi="黑体" w:eastAsia="黑体" w:cs="黑体"/>
          <w:b/>
          <w:bCs/>
          <w:sz w:val="24"/>
          <w:szCs w:val="24"/>
          <w:highlight w:val="none"/>
        </w:rPr>
        <w:t>日</w:t>
      </w:r>
      <w:r>
        <w:rPr>
          <w:rFonts w:hint="eastAsia" w:ascii="黑体" w:hAnsi="黑体" w:eastAsia="黑体" w:cs="黑体"/>
          <w:b/>
          <w:bCs/>
          <w:sz w:val="24"/>
          <w:szCs w:val="24"/>
          <w:highlight w:val="none"/>
          <w:lang w:val="en-US" w:eastAsia="zh-CN"/>
        </w:rPr>
        <w:t>11</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马</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15262795019</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宋体" w:hAnsi="宋体" w:eastAsia="宋体" w:cs="宋体"/>
          <w:kern w:val="2"/>
          <w:sz w:val="24"/>
          <w:szCs w:val="24"/>
          <w:lang w:val="en-US"/>
        </w:rPr>
      </w:pPr>
      <w:r>
        <w:rPr>
          <w:rFonts w:hint="eastAsia" w:ascii="黑体" w:hAnsi="黑体" w:eastAsia="黑体" w:cs="黑体"/>
          <w:b/>
          <w:bCs/>
          <w:kern w:val="2"/>
          <w:sz w:val="24"/>
          <w:szCs w:val="24"/>
          <w:lang w:val="en-US" w:eastAsia="zh-CN"/>
        </w:rPr>
        <w:t>技术咨询：陈老师 13962955641</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监督电话：蔡老师0513-85301108</w:t>
      </w:r>
      <w:r>
        <w:rPr>
          <w:rFonts w:hint="eastAsia" w:ascii="宋体" w:hAnsi="宋体" w:eastAsia="宋体" w:cs="宋体"/>
          <w:kern w:val="2"/>
          <w:sz w:val="24"/>
          <w:szCs w:val="24"/>
          <w:lang w:val="en-US" w:eastAsia="zh-CN"/>
        </w:rPr>
        <w:t xml:space="preserve"> 18068181066</w:t>
      </w:r>
      <w:r>
        <w:rPr>
          <w:rFonts w:hint="eastAsia" w:ascii="宋体" w:hAnsi="宋体" w:eastAsia="宋体" w:cs="宋体"/>
          <w:kern w:val="2"/>
          <w:sz w:val="24"/>
          <w:szCs w:val="24"/>
        </w:rPr>
        <w:t xml:space="preserve"> </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pPr>
        <w:spacing w:line="440" w:lineRule="exact"/>
        <w:rPr>
          <w:rFonts w:ascii="宋体" w:hAnsi="宋体"/>
          <w:b/>
          <w:bCs/>
          <w:sz w:val="30"/>
          <w:szCs w:val="30"/>
        </w:rPr>
      </w:pPr>
    </w:p>
    <w:p>
      <w:pPr>
        <w:pStyle w:val="20"/>
        <w:rPr>
          <w:rFonts w:ascii="宋体" w:hAnsi="宋体"/>
          <w:b/>
          <w:bCs/>
          <w:sz w:val="30"/>
          <w:szCs w:val="30"/>
        </w:rPr>
      </w:pPr>
    </w:p>
    <w:p>
      <w:pPr>
        <w:pStyle w:val="14"/>
        <w:ind w:left="0" w:leftChars="0" w:firstLine="0" w:firstLineChars="0"/>
        <w:rPr>
          <w:rFonts w:hint="eastAsia"/>
          <w:b/>
          <w:bCs/>
          <w:sz w:val="32"/>
          <w:szCs w:val="32"/>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pPr>
        <w:spacing w:line="360" w:lineRule="auto"/>
        <w:ind w:firstLine="480" w:firstLineChars="200"/>
        <w:rPr>
          <w:rFonts w:hint="eastAsia"/>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设备（软件）、材料（含辅材）、</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w:t>
      </w:r>
      <w:r>
        <w:rPr>
          <w:rFonts w:hint="eastAsia"/>
          <w:sz w:val="24"/>
          <w:lang w:val="en-US" w:eastAsia="zh-CN"/>
        </w:rPr>
        <w:t>软件</w:t>
      </w:r>
      <w:r>
        <w:rPr>
          <w:rFonts w:hint="eastAsia"/>
          <w:sz w:val="24"/>
          <w:lang w:eastAsia="zh-CN"/>
        </w:rPr>
        <w:t>）的购置费用、运输费用、售后服务费用以及各种税务费用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其中设备类税率为13%，软件和服务类税率6%</w:t>
      </w:r>
      <w:r>
        <w:rPr>
          <w:rFonts w:hint="eastAsia" w:ascii="黑体" w:hAnsi="黑体" w:eastAsia="黑体" w:cs="黑体"/>
          <w:b/>
          <w:bCs/>
          <w:sz w:val="24"/>
          <w:lang w:eastAsia="zh-CN"/>
        </w:rPr>
        <w:t>）</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pPr>
        <w:spacing w:line="360" w:lineRule="auto"/>
        <w:ind w:firstLine="480" w:firstLineChars="200"/>
        <w:rPr>
          <w:rFonts w:hint="eastAsia"/>
          <w:sz w:val="24"/>
        </w:rPr>
      </w:pPr>
      <w:r>
        <w:rPr>
          <w:rFonts w:hint="eastAsia"/>
          <w:sz w:val="24"/>
        </w:rPr>
        <w:t>准；</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五、评标方法及评分标准</w:t>
      </w:r>
    </w:p>
    <w:p>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pPr>
        <w:spacing w:line="353" w:lineRule="auto"/>
        <w:ind w:firstLine="480" w:firstLineChars="200"/>
        <w:rPr>
          <w:rFonts w:hint="eastAsia"/>
          <w:sz w:val="24"/>
        </w:rPr>
      </w:pPr>
      <w:r>
        <w:rPr>
          <w:rFonts w:hint="eastAsia"/>
          <w:sz w:val="24"/>
        </w:rPr>
        <w:t>（1）公开招标程序：资格审查→资格符合性评审→技术标评审→商务标开标→确定中标</w:t>
      </w:r>
    </w:p>
    <w:p>
      <w:pPr>
        <w:spacing w:line="353" w:lineRule="auto"/>
        <w:rPr>
          <w:rFonts w:hint="eastAsia"/>
          <w:sz w:val="24"/>
        </w:rPr>
      </w:pPr>
      <w:r>
        <w:rPr>
          <w:rFonts w:hint="eastAsia"/>
          <w:sz w:val="24"/>
        </w:rPr>
        <w:t>候选人</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黑体" w:eastAsia="黑体"/>
          <w:b/>
          <w:sz w:val="24"/>
        </w:rPr>
        <w:sectPr>
          <w:footerReference r:id="rId3" w:type="default"/>
          <w:pgSz w:w="11907" w:h="16839"/>
          <w:pgMar w:top="1428" w:right="869" w:bottom="1357" w:left="1087" w:header="0" w:footer="1197" w:gutter="0"/>
          <w:pgNumType w:fmt="decimal"/>
          <w:cols w:space="720" w:num="1"/>
        </w:sectPr>
      </w:pP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r>
        <w:rPr>
          <w:rFonts w:hint="eastAsia" w:ascii="宋体" w:hAnsi="宋体"/>
          <w:bCs/>
          <w:sz w:val="24"/>
          <w:lang w:eastAsia="zh-CN"/>
        </w:rPr>
        <w:t>（</w:t>
      </w:r>
      <w:r>
        <w:rPr>
          <w:rFonts w:hint="eastAsia" w:ascii="宋体" w:hAnsi="宋体"/>
          <w:bCs/>
          <w:sz w:val="24"/>
          <w:lang w:val="en-US" w:eastAsia="zh-CN"/>
        </w:rPr>
        <w:t>可调整</w:t>
      </w:r>
      <w:r>
        <w:rPr>
          <w:rFonts w:hint="eastAsia" w:ascii="宋体" w:hAnsi="宋体"/>
          <w:bCs/>
          <w:sz w:val="24"/>
          <w:lang w:eastAsia="zh-CN"/>
        </w:rPr>
        <w:t>）</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30</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满足招标文件要求且投标总价格最低的投标报价为评标基准价，其价格分为满分，其他投标人的价格分按下列公式计算：</w:t>
            </w:r>
          </w:p>
          <w:p>
            <w:pPr>
              <w:rPr>
                <w:rFonts w:hint="eastAsia"/>
                <w:szCs w:val="21"/>
                <w:lang w:val="en-US" w:eastAsia="zh-CN"/>
              </w:rPr>
            </w:pPr>
            <w:r>
              <w:rPr>
                <w:rFonts w:hint="eastAsia"/>
                <w:szCs w:val="21"/>
              </w:rPr>
              <w:t>投标报价得分＝（评标基准价/投标报价）×</w:t>
            </w:r>
            <w:r>
              <w:rPr>
                <w:rFonts w:hint="eastAsia"/>
                <w:szCs w:val="21"/>
                <w:lang w:val="en-US" w:eastAsia="zh-CN"/>
              </w:rPr>
              <w:t>30</w:t>
            </w:r>
          </w:p>
          <w:p>
            <w:pPr>
              <w:rPr>
                <w:rFonts w:hint="default"/>
                <w:szCs w:val="21"/>
                <w:lang w:val="en-US" w:eastAsia="zh-CN"/>
              </w:rPr>
            </w:pPr>
            <w:r>
              <w:rPr>
                <w:rFonts w:hint="eastAsia"/>
                <w:color w:val="FF0000"/>
                <w:szCs w:val="21"/>
                <w:lang w:val="en-US" w:eastAsia="zh-CN"/>
              </w:rPr>
              <w:t>投标人需对附件详细技术参数的7大功能进行分项报价。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22</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根据供应商的技术指标对招标文件的偏离度进行打分，具体由评委根据供应商的投标文件中《技术规格响应/偏离表》及相关证明资料评审。符合招标文件基本要求的得基准分</w:t>
            </w:r>
            <w:r>
              <w:rPr>
                <w:rFonts w:hint="eastAsia"/>
                <w:szCs w:val="21"/>
                <w:lang w:val="en-US" w:eastAsia="zh-CN"/>
              </w:rPr>
              <w:t>20</w:t>
            </w:r>
            <w:r>
              <w:rPr>
                <w:rFonts w:hint="eastAsia"/>
                <w:szCs w:val="21"/>
              </w:rPr>
              <w:t>分。指标有一项负偏离扣2分，扣完为止。</w:t>
            </w:r>
          </w:p>
          <w:p>
            <w:pPr>
              <w:pStyle w:val="14"/>
              <w:spacing w:after="0" w:line="240" w:lineRule="auto"/>
              <w:ind w:firstLine="211"/>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p>
            <w:pPr>
              <w:pStyle w:val="14"/>
              <w:spacing w:after="0" w:line="360" w:lineRule="auto"/>
              <w:ind w:firstLine="211"/>
              <w:rPr>
                <w:rFonts w:hint="eastAsia" w:ascii="Times New Roman" w:hAnsi="Times New Roman" w:eastAsia="宋体" w:cs="Times New Roman"/>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lang w:val="zh-TW" w:eastAsia="zh-TW"/>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现场演示</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eastAsia="宋体"/>
                <w:szCs w:val="21"/>
              </w:rPr>
            </w:pPr>
            <w:r>
              <w:rPr>
                <w:rFonts w:hint="eastAsia" w:eastAsia="宋体"/>
                <w:szCs w:val="21"/>
              </w:rPr>
              <w:t>演示时间为15分钟</w:t>
            </w:r>
            <w:r>
              <w:rPr>
                <w:rFonts w:hint="eastAsia" w:eastAsia="宋体"/>
                <w:szCs w:val="21"/>
                <w:lang w:val="en-US" w:eastAsia="zh-CN"/>
              </w:rPr>
              <w:t>以内</w:t>
            </w:r>
            <w:r>
              <w:rPr>
                <w:rFonts w:hint="eastAsia" w:eastAsia="宋体"/>
                <w:szCs w:val="21"/>
              </w:rPr>
              <w:t>，要求：1）使用原型、PPT、视频等非真实系统演示的不得分；2）由评委在Edge、IE11、Firefox、Chrome、360等浏览器中随机指定一款演示，不采用评委指定浏览器的不得分。</w:t>
            </w:r>
          </w:p>
          <w:p>
            <w:pPr>
              <w:rPr>
                <w:rFonts w:hint="eastAsia"/>
                <w:szCs w:val="21"/>
                <w:lang w:val="en-US" w:eastAsia="zh-CN"/>
              </w:rPr>
            </w:pPr>
            <w:r>
              <w:rPr>
                <w:rFonts w:hint="eastAsia"/>
                <w:szCs w:val="21"/>
                <w:lang w:val="en-US" w:eastAsia="zh-CN"/>
              </w:rPr>
              <w:t>现场演示需要按照附件要求分别对5大模块功能实现情况按顺序逐一进行展示：</w:t>
            </w:r>
          </w:p>
          <w:p>
            <w:pPr>
              <w:numPr>
                <w:ilvl w:val="0"/>
                <w:numId w:val="1"/>
              </w:numPr>
              <w:rPr>
                <w:rFonts w:hint="eastAsia"/>
                <w:szCs w:val="21"/>
                <w:lang w:val="en-US" w:eastAsia="zh-CN"/>
              </w:rPr>
            </w:pPr>
            <w:r>
              <w:rPr>
                <w:rFonts w:hint="eastAsia"/>
                <w:szCs w:val="21"/>
                <w:lang w:val="en-US" w:eastAsia="zh-CN"/>
              </w:rPr>
              <w:t xml:space="preserve">实验室基础信息管理子系统 </w:t>
            </w:r>
          </w:p>
          <w:p>
            <w:pPr>
              <w:numPr>
                <w:ilvl w:val="0"/>
                <w:numId w:val="1"/>
              </w:numPr>
              <w:rPr>
                <w:rFonts w:hint="default"/>
                <w:szCs w:val="21"/>
                <w:lang w:val="en-US" w:eastAsia="zh-CN"/>
              </w:rPr>
            </w:pPr>
            <w:r>
              <w:rPr>
                <w:rFonts w:hint="default"/>
                <w:szCs w:val="21"/>
                <w:lang w:val="en-US" w:eastAsia="zh-CN"/>
              </w:rPr>
              <w:t>实验室安全检查系统</w:t>
            </w:r>
          </w:p>
          <w:p>
            <w:pPr>
              <w:numPr>
                <w:ilvl w:val="0"/>
                <w:numId w:val="1"/>
              </w:numPr>
              <w:rPr>
                <w:rFonts w:hint="default"/>
                <w:szCs w:val="21"/>
                <w:lang w:val="en-US" w:eastAsia="zh-CN"/>
              </w:rPr>
            </w:pPr>
            <w:r>
              <w:rPr>
                <w:rFonts w:hint="default"/>
                <w:szCs w:val="21"/>
                <w:lang w:val="en-US" w:eastAsia="zh-CN"/>
              </w:rPr>
              <w:t>实验室安全教育和考试系统</w:t>
            </w:r>
          </w:p>
          <w:p>
            <w:pPr>
              <w:numPr>
                <w:ilvl w:val="0"/>
                <w:numId w:val="1"/>
              </w:numPr>
              <w:rPr>
                <w:rFonts w:hint="default"/>
                <w:szCs w:val="21"/>
                <w:lang w:val="en-US" w:eastAsia="zh-CN"/>
              </w:rPr>
            </w:pPr>
            <w:r>
              <w:rPr>
                <w:rFonts w:hint="default"/>
                <w:szCs w:val="21"/>
                <w:lang w:val="en-US" w:eastAsia="zh-CN"/>
              </w:rPr>
              <w:t>化学品全生命周期管理系统</w:t>
            </w:r>
          </w:p>
          <w:p>
            <w:pPr>
              <w:numPr>
                <w:ilvl w:val="0"/>
                <w:numId w:val="1"/>
              </w:numPr>
              <w:rPr>
                <w:rFonts w:hint="default"/>
                <w:szCs w:val="21"/>
                <w:lang w:val="en-US" w:eastAsia="zh-CN"/>
              </w:rPr>
            </w:pPr>
            <w:r>
              <w:rPr>
                <w:rFonts w:hint="default"/>
                <w:szCs w:val="21"/>
                <w:lang w:val="en-US" w:eastAsia="zh-CN"/>
              </w:rPr>
              <w:t>实验项目安全风险评估系统</w:t>
            </w:r>
          </w:p>
          <w:p>
            <w:pPr>
              <w:numPr>
                <w:ilvl w:val="0"/>
                <w:numId w:val="0"/>
              </w:numPr>
              <w:rPr>
                <w:rFonts w:hint="default"/>
                <w:szCs w:val="21"/>
                <w:lang w:val="en-US" w:eastAsia="zh-CN"/>
              </w:rPr>
            </w:pPr>
            <w:r>
              <w:rPr>
                <w:rFonts w:hint="eastAsia"/>
                <w:szCs w:val="21"/>
                <w:lang w:val="en-US" w:eastAsia="zh-CN"/>
              </w:rPr>
              <w:t>单个模块完全满足得4分，不满足酌情扣分。</w:t>
            </w:r>
          </w:p>
          <w:p>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eastAsia="宋体"/>
                <w:szCs w:val="21"/>
              </w:rPr>
              <w:t>注：现场演示须投标人自行携带演示设备，并提前做好准备，时间严格控制在规定的时间以内。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1"/>
                <w:szCs w:val="21"/>
                <w:lang w:val="zh-TW" w:eastAsia="zh-TW" w:bidi="ar-SA"/>
              </w:rPr>
            </w:pPr>
            <w:r>
              <w:rPr>
                <w:rFonts w:hint="eastAsia" w:ascii="宋体" w:hAnsi="宋体" w:eastAsia="宋体" w:cs="宋体"/>
                <w:sz w:val="21"/>
                <w:szCs w:val="21"/>
                <w:lang w:val="zh-TW" w:eastAsia="zh-TW"/>
              </w:rPr>
              <w:t>技术方案</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404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根据投标人提供的针对本项目施工组织、技术团队、管理岗位职责、质量控制方案、安全施工、文明施工方案等评分，优得3分，良得2分，一般得1分，未提供不得分。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eastAsia="宋体"/>
                <w:szCs w:val="21"/>
                <w:highlight w:val="none"/>
                <w:lang w:val="en-US" w:eastAsia="zh-CN"/>
              </w:rPr>
            </w:pPr>
            <w:r>
              <w:rPr>
                <w:rFonts w:hint="eastAsia"/>
                <w:szCs w:val="21"/>
                <w:highlight w:val="none"/>
              </w:rPr>
              <w:t>投标人应</w:t>
            </w:r>
            <w:r>
              <w:rPr>
                <w:rFonts w:hint="eastAsia"/>
                <w:szCs w:val="21"/>
                <w:highlight w:val="none"/>
                <w:lang w:val="en-US" w:eastAsia="zh-CN"/>
              </w:rPr>
              <w:t>具有</w:t>
            </w:r>
            <w:r>
              <w:rPr>
                <w:rFonts w:hint="eastAsia" w:ascii="黑体" w:hAnsi="黑体" w:eastAsia="黑体" w:cs="黑体"/>
                <w:b/>
                <w:bCs/>
                <w:szCs w:val="21"/>
                <w:highlight w:val="none"/>
                <w:lang w:val="en-US" w:eastAsia="zh-CN"/>
              </w:rPr>
              <w:t>软件开发</w:t>
            </w:r>
            <w:r>
              <w:rPr>
                <w:rFonts w:hint="eastAsia"/>
                <w:szCs w:val="21"/>
                <w:highlight w:val="none"/>
                <w:lang w:val="en-US" w:eastAsia="zh-CN"/>
              </w:rPr>
              <w:t>等证书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 需提供有关证书复印件并加盖公章。</w:t>
            </w:r>
            <w:r>
              <w:rPr>
                <w:rFonts w:hint="eastAsia"/>
                <w:szCs w:val="21"/>
                <w:highlight w:val="none"/>
                <w:lang w:val="en-US" w:eastAsia="zh-CN"/>
              </w:rPr>
              <w:t>最多得5分。</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具有相关证书的，</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pPr>
              <w:rPr>
                <w:rFonts w:hint="eastAsia"/>
                <w:b/>
                <w:bCs/>
                <w:szCs w:val="21"/>
                <w:highlight w:val="none"/>
              </w:rPr>
            </w:pPr>
            <w:r>
              <w:rPr>
                <w:rFonts w:hint="eastAsia"/>
                <w:b/>
                <w:bCs/>
                <w:szCs w:val="21"/>
                <w:highlight w:val="none"/>
              </w:rPr>
              <w:t>提供有效证书，未提供不得分，证书须在有效期之内；</w:t>
            </w:r>
          </w:p>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zh-CN"/>
              </w:rPr>
              <w:t>3</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根据投标人提供的产品故障报修的响应时间、处理速度、定期巡检以及技术支持、软件升级、技术培训等服务承诺进行评分，优得3分，良得2分，一般得1分，未提供不得分。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rPr>
              <w:t>1</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rPr>
              <w:t>1</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pPr>
        <w:spacing w:line="353" w:lineRule="auto"/>
        <w:ind w:firstLine="482" w:firstLineChars="200"/>
        <w:rPr>
          <w:rFonts w:hint="eastAsia"/>
          <w:b/>
          <w:sz w:val="24"/>
        </w:rPr>
      </w:pPr>
      <w:bookmarkStart w:id="0" w:name="_Toc149568598"/>
      <w:r>
        <w:rPr>
          <w:rFonts w:hint="eastAsia"/>
          <w:b/>
          <w:sz w:val="24"/>
        </w:rPr>
        <w:t>六、定标</w:t>
      </w:r>
      <w:bookmarkEnd w:id="0"/>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pPr>
        <w:spacing w:line="353" w:lineRule="auto"/>
        <w:ind w:firstLine="482" w:firstLineChars="200"/>
        <w:rPr>
          <w:rFonts w:hint="eastAsia"/>
          <w:b/>
          <w:sz w:val="24"/>
        </w:rPr>
      </w:pPr>
      <w:bookmarkStart w:id="1" w:name="_Toc149568599"/>
      <w:r>
        <w:rPr>
          <w:rFonts w:hint="eastAsia"/>
          <w:b/>
          <w:sz w:val="24"/>
        </w:rPr>
        <w:t>七、质量履约保证金</w:t>
      </w:r>
      <w:bookmarkEnd w:id="1"/>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pPr>
        <w:spacing w:line="353" w:lineRule="auto"/>
        <w:ind w:firstLine="482" w:firstLineChars="200"/>
        <w:rPr>
          <w:rFonts w:hint="eastAsia"/>
          <w:b/>
          <w:sz w:val="24"/>
        </w:rPr>
      </w:pPr>
      <w:bookmarkStart w:id="3" w:name="_Toc149568601"/>
      <w:r>
        <w:rPr>
          <w:rFonts w:hint="eastAsia"/>
          <w:b/>
          <w:sz w:val="24"/>
        </w:rPr>
        <w:t>九、其他</w:t>
      </w:r>
      <w:bookmarkEnd w:id="3"/>
    </w:p>
    <w:p>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pPr>
        <w:spacing w:line="353" w:lineRule="auto"/>
        <w:ind w:firstLine="482" w:firstLineChars="200"/>
        <w:rPr>
          <w:rFonts w:hint="eastAsia"/>
          <w:b/>
          <w:sz w:val="24"/>
        </w:rPr>
      </w:pPr>
      <w:r>
        <w:rPr>
          <w:rFonts w:hint="eastAsia"/>
          <w:b/>
          <w:sz w:val="24"/>
        </w:rPr>
        <w:t>一、货物需求一览表</w:t>
      </w:r>
    </w:p>
    <w:p>
      <w:pPr>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 xml:space="preserve">1.实验室基础信息管理子系统 </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lang w:val="en-US" w:eastAsia="zh-CN"/>
        </w:rPr>
        <w:t>应可</w:t>
      </w:r>
      <w:r>
        <w:rPr>
          <w:rFonts w:hint="eastAsia" w:ascii="仿宋_GB2312" w:hAnsi="宋体" w:eastAsia="仿宋_GB2312"/>
          <w:sz w:val="24"/>
        </w:rPr>
        <w:t>实现学校、学院、实验中心、实验室房间的多级管理体系。各层级管理人员可维护本级的基本信息和下级的单位信息和人员信息。</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lang w:val="en-US" w:eastAsia="zh-CN"/>
        </w:rPr>
        <w:t>应可</w:t>
      </w:r>
      <w:r>
        <w:rPr>
          <w:rFonts w:hint="eastAsia" w:ascii="仿宋_GB2312" w:hAnsi="宋体" w:eastAsia="仿宋_GB2312"/>
          <w:sz w:val="24"/>
        </w:rPr>
        <w:t>实现管理学校的校区、楼宇信息，并能在线进行编辑。</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3)</w:t>
      </w:r>
      <w:r>
        <w:rPr>
          <w:rFonts w:hint="eastAsia" w:ascii="仿宋_GB2312" w:hAnsi="宋体" w:eastAsia="仿宋_GB2312"/>
          <w:sz w:val="24"/>
          <w:lang w:val="en-US" w:eastAsia="zh-CN"/>
        </w:rPr>
        <w:t>应可</w:t>
      </w:r>
      <w:r>
        <w:rPr>
          <w:rFonts w:hint="eastAsia" w:ascii="仿宋_GB2312" w:hAnsi="宋体" w:eastAsia="仿宋_GB2312"/>
          <w:sz w:val="24"/>
        </w:rPr>
        <w:t>实现管理实验室内的基本信息，包含实验室名称、校区、楼宇、房间号、用途、面积、状态、分级分类信息等。</w:t>
      </w:r>
    </w:p>
    <w:p>
      <w:pPr>
        <w:spacing w:line="360" w:lineRule="auto"/>
        <w:ind w:firstLine="420"/>
        <w:rPr>
          <w:rFonts w:hint="eastAsia" w:ascii="仿宋_GB2312" w:hAnsi="宋体" w:eastAsia="仿宋_GB2312"/>
          <w:sz w:val="24"/>
        </w:rPr>
      </w:pPr>
      <w:r>
        <w:rPr>
          <w:rFonts w:hint="eastAsia" w:ascii="仿宋_GB2312" w:hAnsi="宋体" w:eastAsia="仿宋_GB2312"/>
          <w:sz w:val="24"/>
        </w:rPr>
        <w:t>4)</w:t>
      </w:r>
      <w:r>
        <w:rPr>
          <w:rFonts w:hint="eastAsia" w:ascii="仿宋_GB2312" w:hAnsi="宋体" w:eastAsia="仿宋_GB2312"/>
          <w:sz w:val="24"/>
          <w:lang w:val="en-US" w:eastAsia="zh-CN"/>
        </w:rPr>
        <w:t>应可</w:t>
      </w:r>
      <w:r>
        <w:rPr>
          <w:rFonts w:hint="eastAsia" w:ascii="仿宋_GB2312" w:hAnsi="宋体" w:eastAsia="仿宋_GB2312"/>
          <w:sz w:val="24"/>
        </w:rPr>
        <w:t>实现管理实验室内的风险评估信息，包含实验室资质、危险源、防护措施等。</w:t>
      </w:r>
    </w:p>
    <w:p>
      <w:pPr>
        <w:spacing w:line="360" w:lineRule="auto"/>
        <w:ind w:firstLine="420"/>
        <w:rPr>
          <w:rFonts w:hint="eastAsia" w:ascii="仿宋_GB2312" w:hAnsi="宋体" w:eastAsia="仿宋_GB2312"/>
          <w:sz w:val="24"/>
        </w:rPr>
      </w:pPr>
      <w:r>
        <w:rPr>
          <w:rFonts w:hint="eastAsia" w:ascii="仿宋_GB2312" w:hAnsi="宋体" w:eastAsia="仿宋_GB2312"/>
          <w:sz w:val="24"/>
        </w:rPr>
        <w:t>5)</w:t>
      </w:r>
      <w:r>
        <w:rPr>
          <w:rFonts w:hint="eastAsia" w:ascii="仿宋_GB2312" w:hAnsi="宋体" w:eastAsia="仿宋_GB2312"/>
          <w:sz w:val="24"/>
          <w:lang w:val="en-US" w:eastAsia="zh-CN"/>
        </w:rPr>
        <w:t>应可</w:t>
      </w:r>
      <w:r>
        <w:rPr>
          <w:rFonts w:hint="eastAsia" w:ascii="仿宋_GB2312" w:hAnsi="宋体" w:eastAsia="仿宋_GB2312"/>
          <w:sz w:val="24"/>
        </w:rPr>
        <w:t>实现为实验室绑定人员，人员角色可由管理员自定义设置。</w:t>
      </w:r>
    </w:p>
    <w:p>
      <w:pPr>
        <w:spacing w:line="360" w:lineRule="auto"/>
        <w:ind w:firstLine="420"/>
        <w:rPr>
          <w:rFonts w:hint="eastAsia" w:ascii="仿宋_GB2312" w:hAnsi="宋体" w:eastAsia="仿宋_GB2312"/>
          <w:sz w:val="24"/>
        </w:rPr>
      </w:pPr>
      <w:r>
        <w:rPr>
          <w:rFonts w:hint="eastAsia" w:ascii="仿宋_GB2312" w:hAnsi="宋体" w:eastAsia="仿宋_GB2312"/>
          <w:sz w:val="24"/>
        </w:rPr>
        <w:t>6)</w:t>
      </w:r>
      <w:r>
        <w:rPr>
          <w:rFonts w:hint="eastAsia" w:ascii="仿宋_GB2312" w:hAnsi="宋体" w:eastAsia="仿宋_GB2312"/>
          <w:sz w:val="24"/>
          <w:lang w:val="en-US" w:eastAsia="zh-CN"/>
        </w:rPr>
        <w:t>应可</w:t>
      </w:r>
      <w:r>
        <w:rPr>
          <w:rFonts w:hint="eastAsia" w:ascii="仿宋_GB2312" w:hAnsi="宋体" w:eastAsia="仿宋_GB2312"/>
          <w:sz w:val="24"/>
        </w:rPr>
        <w:t>实现管理实验室内的重要危险源信息，包含特种设备、化学品等。</w:t>
      </w:r>
    </w:p>
    <w:p>
      <w:pPr>
        <w:spacing w:line="360" w:lineRule="auto"/>
        <w:ind w:firstLine="420"/>
        <w:rPr>
          <w:rFonts w:hint="eastAsia" w:ascii="仿宋_GB2312" w:hAnsi="宋体" w:eastAsia="仿宋_GB2312"/>
          <w:sz w:val="24"/>
        </w:rPr>
      </w:pPr>
      <w:r>
        <w:rPr>
          <w:rFonts w:hint="eastAsia" w:ascii="仿宋_GB2312" w:hAnsi="宋体" w:eastAsia="仿宋_GB2312"/>
          <w:sz w:val="24"/>
        </w:rPr>
        <w:t>7)</w:t>
      </w:r>
      <w:r>
        <w:rPr>
          <w:rFonts w:hint="eastAsia" w:ascii="仿宋_GB2312" w:hAnsi="宋体" w:eastAsia="仿宋_GB2312"/>
          <w:sz w:val="24"/>
          <w:lang w:val="en-US" w:eastAsia="zh-CN"/>
        </w:rPr>
        <w:t>应可</w:t>
      </w:r>
      <w:r>
        <w:rPr>
          <w:rFonts w:hint="eastAsia" w:ascii="仿宋_GB2312" w:hAnsi="宋体" w:eastAsia="仿宋_GB2312"/>
          <w:sz w:val="24"/>
        </w:rPr>
        <w:t>实现根据实验室内的信息自动生成实验室安全信息牌，安全信息牌上包含实验室二维码，也可以单独生成实验室二维码。</w:t>
      </w:r>
    </w:p>
    <w:p>
      <w:pPr>
        <w:spacing w:line="360" w:lineRule="auto"/>
        <w:ind w:firstLine="420"/>
        <w:rPr>
          <w:rFonts w:hint="eastAsia" w:ascii="仿宋_GB2312" w:hAnsi="宋体" w:eastAsia="仿宋_GB2312"/>
          <w:sz w:val="24"/>
        </w:rPr>
      </w:pPr>
      <w:r>
        <w:rPr>
          <w:rFonts w:hint="eastAsia" w:ascii="仿宋_GB2312" w:hAnsi="宋体" w:eastAsia="仿宋_GB2312"/>
          <w:sz w:val="24"/>
        </w:rPr>
        <w:t>8)</w:t>
      </w:r>
      <w:r>
        <w:rPr>
          <w:rFonts w:hint="eastAsia" w:ascii="仿宋_GB2312" w:hAnsi="宋体" w:eastAsia="仿宋_GB2312"/>
          <w:sz w:val="24"/>
          <w:lang w:val="en-US" w:eastAsia="zh-CN"/>
        </w:rPr>
        <w:t>应可</w:t>
      </w:r>
      <w:r>
        <w:rPr>
          <w:rFonts w:hint="eastAsia" w:ascii="仿宋_GB2312" w:hAnsi="宋体" w:eastAsia="仿宋_GB2312"/>
          <w:sz w:val="24"/>
        </w:rPr>
        <w:t>实现后台自定义实验室分级分类规则，根据实验室危险源信息对房间进行自动分级分类管理。</w:t>
      </w:r>
    </w:p>
    <w:p>
      <w:pPr>
        <w:spacing w:line="360" w:lineRule="auto"/>
        <w:ind w:firstLine="420"/>
        <w:rPr>
          <w:rFonts w:hint="eastAsia" w:ascii="仿宋_GB2312" w:hAnsi="宋体" w:eastAsia="仿宋_GB2312"/>
          <w:sz w:val="24"/>
        </w:rPr>
      </w:pPr>
      <w:r>
        <w:rPr>
          <w:rFonts w:hint="eastAsia" w:ascii="仿宋_GB2312" w:hAnsi="宋体" w:eastAsia="仿宋_GB2312"/>
          <w:sz w:val="24"/>
        </w:rPr>
        <w:t>9)</w:t>
      </w:r>
      <w:r>
        <w:rPr>
          <w:rFonts w:hint="eastAsia" w:ascii="仿宋_GB2312" w:hAnsi="宋体" w:eastAsia="仿宋_GB2312"/>
          <w:sz w:val="24"/>
          <w:lang w:val="en-US" w:eastAsia="zh-CN"/>
        </w:rPr>
        <w:t>应可</w:t>
      </w:r>
      <w:r>
        <w:rPr>
          <w:rFonts w:hint="eastAsia" w:ascii="仿宋_GB2312" w:hAnsi="宋体" w:eastAsia="仿宋_GB2312"/>
          <w:sz w:val="24"/>
        </w:rPr>
        <w:t>实现管理实验室内的重要危险源，包含实验室特种设备和危化品信息。</w:t>
      </w:r>
    </w:p>
    <w:p>
      <w:pPr>
        <w:spacing w:line="360" w:lineRule="auto"/>
        <w:ind w:firstLine="420"/>
        <w:rPr>
          <w:rFonts w:hint="eastAsia" w:ascii="仿宋_GB2312" w:hAnsi="宋体" w:eastAsia="仿宋_GB2312"/>
          <w:sz w:val="24"/>
        </w:rPr>
      </w:pPr>
      <w:r>
        <w:rPr>
          <w:rFonts w:hint="eastAsia" w:ascii="仿宋_GB2312" w:hAnsi="宋体" w:eastAsia="仿宋_GB2312"/>
          <w:sz w:val="24"/>
        </w:rPr>
        <w:t>10)</w:t>
      </w:r>
      <w:r>
        <w:rPr>
          <w:rFonts w:hint="eastAsia" w:ascii="仿宋_GB2312" w:hAnsi="宋体" w:eastAsia="仿宋_GB2312"/>
          <w:sz w:val="24"/>
          <w:lang w:val="en-US" w:eastAsia="zh-CN"/>
        </w:rPr>
        <w:t>应可</w:t>
      </w:r>
      <w:r>
        <w:rPr>
          <w:rFonts w:hint="eastAsia" w:ascii="仿宋_GB2312" w:hAnsi="宋体" w:eastAsia="仿宋_GB2312"/>
          <w:sz w:val="24"/>
        </w:rPr>
        <w:t>实现实验室信息变更的提醒和审核功能。可查看信息变更记录。</w:t>
      </w:r>
    </w:p>
    <w:p>
      <w:pPr>
        <w:spacing w:line="360" w:lineRule="auto"/>
        <w:ind w:firstLine="420"/>
        <w:rPr>
          <w:rFonts w:hint="eastAsia" w:ascii="仿宋_GB2312" w:hAnsi="宋体" w:eastAsia="仿宋_GB2312"/>
          <w:sz w:val="24"/>
        </w:rPr>
      </w:pPr>
      <w:r>
        <w:rPr>
          <w:rFonts w:hint="eastAsia" w:ascii="仿宋_GB2312" w:hAnsi="宋体" w:eastAsia="仿宋_GB2312"/>
          <w:sz w:val="24"/>
        </w:rPr>
        <w:t>11)</w:t>
      </w:r>
      <w:r>
        <w:rPr>
          <w:rFonts w:hint="eastAsia" w:ascii="仿宋_GB2312" w:hAnsi="宋体" w:eastAsia="仿宋_GB2312"/>
          <w:sz w:val="24"/>
          <w:lang w:val="en-US" w:eastAsia="zh-CN"/>
        </w:rPr>
        <w:t>应可</w:t>
      </w:r>
      <w:r>
        <w:rPr>
          <w:rFonts w:hint="eastAsia" w:ascii="仿宋_GB2312" w:hAnsi="宋体" w:eastAsia="仿宋_GB2312"/>
          <w:sz w:val="24"/>
        </w:rPr>
        <w:t>实现查询实验室内的基础数据。</w:t>
      </w:r>
    </w:p>
    <w:p>
      <w:pPr>
        <w:spacing w:line="360" w:lineRule="auto"/>
        <w:ind w:firstLine="420"/>
        <w:rPr>
          <w:rFonts w:hint="eastAsia" w:ascii="仿宋_GB2312" w:hAnsi="宋体" w:eastAsia="仿宋_GB2312"/>
          <w:sz w:val="24"/>
        </w:rPr>
      </w:pPr>
      <w:r>
        <w:rPr>
          <w:rFonts w:hint="eastAsia" w:ascii="仿宋_GB2312" w:hAnsi="宋体" w:eastAsia="仿宋_GB2312"/>
          <w:sz w:val="24"/>
        </w:rPr>
        <w:t>12)</w:t>
      </w:r>
      <w:r>
        <w:rPr>
          <w:rFonts w:hint="eastAsia" w:ascii="仿宋_GB2312" w:hAnsi="宋体" w:eastAsia="仿宋_GB2312"/>
          <w:sz w:val="24"/>
          <w:lang w:val="en-US" w:eastAsia="zh-CN"/>
        </w:rPr>
        <w:t>应可</w:t>
      </w:r>
      <w:r>
        <w:rPr>
          <w:rFonts w:hint="eastAsia" w:ascii="仿宋_GB2312" w:hAnsi="宋体" w:eastAsia="仿宋_GB2312"/>
          <w:sz w:val="24"/>
        </w:rPr>
        <w:t>实现同步学校数据中心的教职工和学生数据。</w:t>
      </w:r>
    </w:p>
    <w:p>
      <w:pPr>
        <w:spacing w:line="360" w:lineRule="auto"/>
        <w:ind w:firstLine="420"/>
        <w:rPr>
          <w:rFonts w:hint="eastAsia" w:ascii="仿宋_GB2312" w:hAnsi="宋体" w:eastAsia="仿宋_GB2312"/>
          <w:b/>
          <w:sz w:val="24"/>
        </w:rPr>
      </w:pPr>
      <w:r>
        <w:rPr>
          <w:rFonts w:hint="eastAsia" w:ascii="仿宋_GB2312" w:hAnsi="宋体" w:eastAsia="仿宋_GB2312"/>
          <w:b/>
          <w:sz w:val="24"/>
        </w:rPr>
        <w:t xml:space="preserve">2.实验室安全检查系统 </w:t>
      </w:r>
    </w:p>
    <w:p>
      <w:pPr>
        <w:spacing w:line="360" w:lineRule="auto"/>
        <w:ind w:firstLine="420"/>
        <w:rPr>
          <w:rFonts w:hint="eastAsia" w:ascii="仿宋_GB2312" w:hAnsi="宋体" w:eastAsia="仿宋_GB2312"/>
          <w:sz w:val="24"/>
        </w:rPr>
      </w:pPr>
      <w:r>
        <w:rPr>
          <w:rFonts w:hint="eastAsia" w:ascii="仿宋_GB2312" w:hAnsi="宋体" w:eastAsia="仿宋_GB2312"/>
          <w:sz w:val="24"/>
        </w:rPr>
        <w:t>1)应可在检查系统首页查看检查情况总览，按角色查看对应层级的检查数据。</w:t>
      </w:r>
    </w:p>
    <w:p>
      <w:pPr>
        <w:spacing w:line="360" w:lineRule="auto"/>
        <w:ind w:firstLine="420"/>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lang w:val="en-US" w:eastAsia="zh-CN"/>
        </w:rPr>
        <w:t>应</w:t>
      </w:r>
      <w:r>
        <w:rPr>
          <w:rFonts w:hint="eastAsia" w:ascii="仿宋_GB2312" w:hAnsi="宋体" w:eastAsia="仿宋_GB2312"/>
          <w:sz w:val="24"/>
        </w:rPr>
        <w:t>实现各层级管理本单位的巡查组。</w:t>
      </w:r>
    </w:p>
    <w:p>
      <w:pPr>
        <w:spacing w:line="360" w:lineRule="auto"/>
        <w:ind w:firstLine="420"/>
        <w:rPr>
          <w:rFonts w:hint="eastAsia" w:ascii="仿宋_GB2312" w:hAnsi="宋体" w:eastAsia="仿宋_GB2312"/>
          <w:sz w:val="24"/>
        </w:rPr>
      </w:pPr>
      <w:r>
        <w:rPr>
          <w:rFonts w:hint="eastAsia" w:ascii="仿宋_GB2312" w:hAnsi="宋体" w:eastAsia="仿宋_GB2312"/>
          <w:sz w:val="24"/>
        </w:rPr>
        <w:t>3)系统需内置教育部最新指标库，同时实现自定义指标库功能。</w:t>
      </w:r>
    </w:p>
    <w:p>
      <w:pPr>
        <w:spacing w:line="360" w:lineRule="auto"/>
        <w:ind w:firstLine="420"/>
        <w:rPr>
          <w:rFonts w:hint="eastAsia" w:ascii="仿宋_GB2312" w:hAnsi="宋体" w:eastAsia="仿宋_GB2312"/>
          <w:sz w:val="24"/>
        </w:rPr>
      </w:pPr>
      <w:r>
        <w:rPr>
          <w:rFonts w:hint="eastAsia" w:ascii="仿宋_GB2312" w:hAnsi="宋体" w:eastAsia="仿宋_GB2312"/>
          <w:sz w:val="24"/>
        </w:rPr>
        <w:t>4)应可实现学校、学院、实验中心在线发起安全巡查，自定义检查流程、选择指标库、检查对象、检查人员等信息。</w:t>
      </w:r>
    </w:p>
    <w:p>
      <w:pPr>
        <w:spacing w:line="360" w:lineRule="auto"/>
        <w:ind w:firstLine="420"/>
        <w:rPr>
          <w:rFonts w:hint="eastAsia" w:ascii="仿宋_GB2312" w:hAnsi="宋体" w:eastAsia="仿宋_GB2312"/>
          <w:sz w:val="24"/>
        </w:rPr>
      </w:pPr>
      <w:r>
        <w:rPr>
          <w:rFonts w:hint="eastAsia" w:ascii="仿宋_GB2312" w:hAnsi="宋体" w:eastAsia="仿宋_GB2312"/>
          <w:sz w:val="24"/>
        </w:rPr>
        <w:t>5)需可在线完成隐患上报、隐患审核、隐患整改、整改审核、隐患关闭的闭环管理流程。</w:t>
      </w:r>
    </w:p>
    <w:p>
      <w:pPr>
        <w:spacing w:line="360" w:lineRule="auto"/>
        <w:ind w:firstLine="420"/>
        <w:rPr>
          <w:rFonts w:hint="eastAsia" w:ascii="仿宋_GB2312" w:hAnsi="宋体" w:eastAsia="仿宋_GB2312"/>
          <w:sz w:val="24"/>
        </w:rPr>
      </w:pPr>
      <w:r>
        <w:rPr>
          <w:rFonts w:hint="eastAsia" w:ascii="仿宋_GB2312" w:hAnsi="宋体" w:eastAsia="仿宋_GB2312"/>
          <w:sz w:val="24"/>
        </w:rPr>
        <w:t>6）检查人员登录手机端后通过扫一扫房间二维码定位巡查对象，并实现按照多种条件检索房间。</w:t>
      </w:r>
    </w:p>
    <w:p>
      <w:pPr>
        <w:spacing w:line="360" w:lineRule="auto"/>
        <w:ind w:firstLine="420"/>
        <w:rPr>
          <w:rFonts w:hint="eastAsia" w:ascii="仿宋_GB2312" w:hAnsi="宋体" w:eastAsia="仿宋_GB2312"/>
          <w:sz w:val="24"/>
        </w:rPr>
      </w:pPr>
      <w:r>
        <w:rPr>
          <w:rFonts w:hint="eastAsia" w:ascii="仿宋_GB2312" w:hAnsi="宋体" w:eastAsia="仿宋_GB2312"/>
          <w:sz w:val="24"/>
        </w:rPr>
        <w:t>7）检查时应可选择隐患等级、选择检查依据和检查要点、输入隐患描述、隐患照片、限定整改时间。</w:t>
      </w:r>
    </w:p>
    <w:p>
      <w:pPr>
        <w:spacing w:line="360" w:lineRule="auto"/>
        <w:ind w:firstLine="420"/>
        <w:rPr>
          <w:rFonts w:hint="eastAsia" w:ascii="仿宋_GB2312" w:hAnsi="宋体" w:eastAsia="仿宋_GB2312"/>
          <w:sz w:val="24"/>
        </w:rPr>
      </w:pPr>
      <w:r>
        <w:rPr>
          <w:rFonts w:hint="eastAsia" w:ascii="仿宋_GB2312" w:hAnsi="宋体" w:eastAsia="仿宋_GB2312"/>
          <w:sz w:val="24"/>
        </w:rPr>
        <w:t>8）</w:t>
      </w:r>
      <w:r>
        <w:rPr>
          <w:rFonts w:hint="eastAsia" w:ascii="仿宋_GB2312" w:hAnsi="宋体" w:eastAsia="仿宋_GB2312"/>
          <w:sz w:val="24"/>
          <w:lang w:val="en-US" w:eastAsia="zh-CN"/>
        </w:rPr>
        <w:t>应可</w:t>
      </w:r>
      <w:r>
        <w:rPr>
          <w:rFonts w:hint="eastAsia" w:ascii="仿宋_GB2312" w:hAnsi="宋体" w:eastAsia="仿宋_GB2312"/>
          <w:sz w:val="24"/>
        </w:rPr>
        <w:t>实现现场整改、隐患草稿、匿名上传、查看历史隐患等功能。</w:t>
      </w:r>
    </w:p>
    <w:p>
      <w:pPr>
        <w:spacing w:line="360" w:lineRule="auto"/>
        <w:ind w:firstLine="420"/>
        <w:rPr>
          <w:rFonts w:hint="eastAsia" w:ascii="仿宋_GB2312" w:hAnsi="宋体" w:eastAsia="仿宋_GB2312"/>
          <w:sz w:val="24"/>
        </w:rPr>
      </w:pPr>
      <w:r>
        <w:rPr>
          <w:rFonts w:hint="eastAsia" w:ascii="仿宋_GB2312" w:hAnsi="宋体" w:eastAsia="仿宋_GB2312"/>
          <w:sz w:val="24"/>
        </w:rPr>
        <w:t>9）</w:t>
      </w:r>
      <w:r>
        <w:rPr>
          <w:rFonts w:hint="eastAsia" w:ascii="仿宋_GB2312" w:hAnsi="宋体" w:eastAsia="仿宋_GB2312"/>
          <w:sz w:val="24"/>
          <w:lang w:val="en-US" w:eastAsia="zh-CN"/>
        </w:rPr>
        <w:t>应可</w:t>
      </w:r>
      <w:r>
        <w:rPr>
          <w:rFonts w:hint="eastAsia" w:ascii="仿宋_GB2312" w:hAnsi="宋体" w:eastAsia="仿宋_GB2312"/>
          <w:sz w:val="24"/>
        </w:rPr>
        <w:t>实现专项检查、隐患随手拍、实验室自查</w:t>
      </w:r>
      <w:r>
        <w:rPr>
          <w:rFonts w:hint="eastAsia" w:ascii="仿宋_GB2312" w:hAnsi="宋体" w:eastAsia="仿宋_GB2312"/>
          <w:color w:val="auto"/>
          <w:sz w:val="24"/>
        </w:rPr>
        <w:t>等特色功能。</w:t>
      </w:r>
    </w:p>
    <w:p>
      <w:pPr>
        <w:spacing w:line="360" w:lineRule="auto"/>
        <w:ind w:firstLine="420"/>
        <w:rPr>
          <w:rFonts w:hint="eastAsia" w:ascii="仿宋_GB2312" w:hAnsi="宋体" w:eastAsia="仿宋_GB2312"/>
          <w:sz w:val="24"/>
        </w:rPr>
      </w:pPr>
      <w:r>
        <w:rPr>
          <w:rFonts w:hint="eastAsia" w:ascii="仿宋_GB2312" w:hAnsi="宋体" w:eastAsia="仿宋_GB2312"/>
          <w:sz w:val="24"/>
        </w:rPr>
        <w:t>10）</w:t>
      </w:r>
      <w:r>
        <w:rPr>
          <w:rFonts w:hint="eastAsia" w:ascii="仿宋_GB2312" w:hAnsi="宋体" w:eastAsia="仿宋_GB2312"/>
          <w:sz w:val="24"/>
          <w:lang w:val="en-US" w:eastAsia="zh-CN"/>
        </w:rPr>
        <w:t>应可</w:t>
      </w:r>
      <w:r>
        <w:rPr>
          <w:rFonts w:hint="eastAsia" w:ascii="仿宋_GB2312" w:hAnsi="宋体" w:eastAsia="仿宋_GB2312"/>
          <w:sz w:val="24"/>
        </w:rPr>
        <w:t>实现整改通知书的下发和签收功能。</w:t>
      </w:r>
    </w:p>
    <w:p>
      <w:pPr>
        <w:spacing w:line="360" w:lineRule="auto"/>
        <w:ind w:firstLine="420"/>
        <w:rPr>
          <w:rFonts w:hint="eastAsia" w:ascii="仿宋_GB2312" w:hAnsi="宋体" w:eastAsia="仿宋_GB2312"/>
          <w:sz w:val="24"/>
        </w:rPr>
      </w:pPr>
      <w:r>
        <w:rPr>
          <w:rFonts w:hint="eastAsia" w:ascii="仿宋_GB2312" w:hAnsi="宋体" w:eastAsia="仿宋_GB2312"/>
          <w:sz w:val="24"/>
        </w:rPr>
        <w:t>11）</w:t>
      </w:r>
      <w:r>
        <w:rPr>
          <w:rFonts w:hint="eastAsia" w:ascii="仿宋_GB2312" w:hAnsi="宋体" w:eastAsia="仿宋_GB2312"/>
          <w:sz w:val="24"/>
          <w:lang w:val="en-US" w:eastAsia="zh-CN"/>
        </w:rPr>
        <w:t>应可</w:t>
      </w:r>
      <w:r>
        <w:rPr>
          <w:rFonts w:hint="eastAsia" w:ascii="仿宋_GB2312" w:hAnsi="宋体" w:eastAsia="仿宋_GB2312"/>
          <w:sz w:val="24"/>
        </w:rPr>
        <w:t>实现生成学校安全台账，预览并导出。配置台账中各字段的显示名称、是否显示、排序等属性。</w:t>
      </w:r>
    </w:p>
    <w:p>
      <w:pPr>
        <w:spacing w:line="360" w:lineRule="auto"/>
        <w:ind w:firstLine="420"/>
        <w:rPr>
          <w:rFonts w:hint="eastAsia" w:ascii="仿宋_GB2312" w:hAnsi="宋体" w:eastAsia="仿宋_GB2312"/>
          <w:sz w:val="24"/>
        </w:rPr>
      </w:pPr>
      <w:r>
        <w:rPr>
          <w:rFonts w:hint="eastAsia" w:ascii="仿宋_GB2312" w:hAnsi="宋体" w:eastAsia="仿宋_GB2312"/>
          <w:sz w:val="24"/>
        </w:rPr>
        <w:t>12）</w:t>
      </w:r>
      <w:r>
        <w:rPr>
          <w:rFonts w:hint="eastAsia" w:ascii="仿宋_GB2312" w:hAnsi="宋体" w:eastAsia="仿宋_GB2312"/>
          <w:sz w:val="24"/>
          <w:lang w:val="en-US" w:eastAsia="zh-CN"/>
        </w:rPr>
        <w:t>应可</w:t>
      </w:r>
      <w:r>
        <w:rPr>
          <w:rFonts w:hint="eastAsia" w:ascii="仿宋_GB2312" w:hAnsi="宋体" w:eastAsia="仿宋_GB2312"/>
          <w:sz w:val="24"/>
        </w:rPr>
        <w:t xml:space="preserve">实现多维度检查情况统计，按检查指标项、隐患分类、隐患状态、检查活动等不同维度进行统计，实现生成统计图表。 </w:t>
      </w:r>
    </w:p>
    <w:p>
      <w:pPr>
        <w:spacing w:line="360" w:lineRule="auto"/>
        <w:ind w:firstLine="420"/>
        <w:rPr>
          <w:rFonts w:hint="eastAsia" w:ascii="仿宋_GB2312" w:hAnsi="宋体" w:eastAsia="仿宋_GB2312"/>
          <w:sz w:val="24"/>
        </w:rPr>
      </w:pPr>
      <w:r>
        <w:rPr>
          <w:rFonts w:hint="eastAsia" w:ascii="仿宋_GB2312" w:hAnsi="宋体" w:eastAsia="仿宋_GB2312"/>
          <w:sz w:val="24"/>
        </w:rPr>
        <w:t>13）检查系统移动端应实现可利用手机移动端完成检查、隐患上报（填写检查要点、隐患描述和照片）、草稿编辑、隐患整改（填写整改描述和照片）、整改审核操作。</w:t>
      </w:r>
    </w:p>
    <w:p>
      <w:pPr>
        <w:spacing w:line="360" w:lineRule="auto"/>
        <w:ind w:firstLine="420"/>
        <w:rPr>
          <w:rFonts w:hint="eastAsia" w:ascii="仿宋_GB2312" w:hAnsi="宋体" w:eastAsia="仿宋_GB2312"/>
          <w:b/>
          <w:sz w:val="24"/>
        </w:rPr>
      </w:pPr>
      <w:r>
        <w:rPr>
          <w:rFonts w:hint="eastAsia" w:ascii="仿宋_GB2312" w:hAnsi="宋体" w:eastAsia="仿宋_GB2312"/>
          <w:b/>
          <w:sz w:val="24"/>
        </w:rPr>
        <w:t xml:space="preserve">3.实验室安全教育和考试系统 </w:t>
      </w:r>
    </w:p>
    <w:p>
      <w:pPr>
        <w:spacing w:line="360" w:lineRule="auto"/>
        <w:ind w:firstLine="420"/>
        <w:rPr>
          <w:rFonts w:hint="eastAsia" w:ascii="仿宋_GB2312" w:hAnsi="宋体" w:eastAsia="仿宋_GB2312"/>
          <w:sz w:val="24"/>
        </w:rPr>
      </w:pPr>
      <w:r>
        <w:rPr>
          <w:rFonts w:hint="eastAsia" w:ascii="仿宋_GB2312" w:hAnsi="宋体" w:eastAsia="仿宋_GB2312"/>
          <w:sz w:val="24"/>
        </w:rPr>
        <w:t>1）应实现三级管理体系，支持学校与二级教学单位、实验室的管理体系。下级管理人员的具体权限可以由管理员细化设置。学院等二级单位可创建和管理本单位题库、考试项目，可具有独立性，且互不干扰。</w:t>
      </w:r>
    </w:p>
    <w:p>
      <w:pPr>
        <w:spacing w:line="360" w:lineRule="auto"/>
        <w:ind w:firstLine="420"/>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lang w:val="en-US" w:eastAsia="zh-CN"/>
        </w:rPr>
        <w:t>可进行</w:t>
      </w:r>
      <w:r>
        <w:rPr>
          <w:rFonts w:hint="eastAsia" w:ascii="仿宋_GB2312" w:hAnsi="宋体" w:eastAsia="仿宋_GB2312"/>
          <w:sz w:val="24"/>
        </w:rPr>
        <w:t>在线学习。系统</w:t>
      </w:r>
      <w:r>
        <w:rPr>
          <w:rFonts w:hint="eastAsia" w:ascii="仿宋_GB2312" w:hAnsi="宋体" w:eastAsia="仿宋_GB2312"/>
          <w:sz w:val="24"/>
          <w:lang w:val="en-US" w:eastAsia="zh-CN"/>
        </w:rPr>
        <w:t>需</w:t>
      </w:r>
      <w:r>
        <w:rPr>
          <w:rFonts w:hint="eastAsia" w:ascii="仿宋_GB2312" w:hAnsi="宋体" w:eastAsia="仿宋_GB2312"/>
          <w:sz w:val="24"/>
        </w:rPr>
        <w:t>内置安全理论、安全知识、安全技能、法律法规等教育材料，师生可根据需要进行相应内容的在线学习；系统可记录每个学生的学习内容、学习时长。学校可自主维护相关教育材料。系统提供实验室安全相关的微课，包括高校实验室安全技术概论、化学安全与防护、生物安全与防护等内容，师生可进行在线学习。</w:t>
      </w:r>
    </w:p>
    <w:p>
      <w:pPr>
        <w:spacing w:line="360" w:lineRule="auto"/>
        <w:ind w:firstLine="420"/>
        <w:rPr>
          <w:rFonts w:hint="eastAsia" w:ascii="仿宋_GB2312" w:hAnsi="宋体" w:eastAsia="仿宋_GB2312"/>
          <w:sz w:val="24"/>
        </w:rPr>
      </w:pPr>
      <w:r>
        <w:rPr>
          <w:rFonts w:hint="eastAsia" w:ascii="仿宋_GB2312" w:hAnsi="宋体" w:eastAsia="仿宋_GB2312"/>
          <w:sz w:val="24"/>
        </w:rPr>
        <w:t>3）</w:t>
      </w:r>
      <w:r>
        <w:rPr>
          <w:rFonts w:hint="eastAsia" w:ascii="仿宋_GB2312" w:hAnsi="宋体" w:eastAsia="仿宋_GB2312"/>
          <w:sz w:val="24"/>
          <w:lang w:val="en-US" w:eastAsia="zh-CN"/>
        </w:rPr>
        <w:t>可进行</w:t>
      </w:r>
      <w:r>
        <w:rPr>
          <w:rFonts w:hint="eastAsia" w:ascii="仿宋_GB2312" w:hAnsi="宋体" w:eastAsia="仿宋_GB2312"/>
          <w:sz w:val="24"/>
        </w:rPr>
        <w:t>在线练习。系统</w:t>
      </w:r>
      <w:r>
        <w:rPr>
          <w:rFonts w:hint="eastAsia" w:ascii="仿宋_GB2312" w:hAnsi="宋体" w:eastAsia="仿宋_GB2312"/>
          <w:sz w:val="24"/>
          <w:lang w:val="en-US" w:eastAsia="zh-CN"/>
        </w:rPr>
        <w:t>应</w:t>
      </w:r>
      <w:r>
        <w:rPr>
          <w:rFonts w:hint="eastAsia" w:ascii="仿宋_GB2312" w:hAnsi="宋体" w:eastAsia="仿宋_GB2312"/>
          <w:sz w:val="24"/>
        </w:rPr>
        <w:t>实现考生自主选择开放题库进行练习，以进一步掌握实验室安全知识。实现随时退出随时练习，可选择继续练习或重新开始练习，提高在线练习的灵活性。可查看每一题库下的已练习题数与错误率信息。</w:t>
      </w:r>
    </w:p>
    <w:p>
      <w:pPr>
        <w:spacing w:line="360" w:lineRule="auto"/>
        <w:ind w:firstLine="420"/>
        <w:rPr>
          <w:rFonts w:hint="eastAsia" w:ascii="仿宋_GB2312" w:hAnsi="宋体" w:eastAsia="仿宋_GB2312"/>
          <w:sz w:val="24"/>
        </w:rPr>
      </w:pPr>
    </w:p>
    <w:p>
      <w:pPr>
        <w:spacing w:line="360" w:lineRule="auto"/>
        <w:ind w:firstLine="420"/>
        <w:rPr>
          <w:rFonts w:hint="eastAsia" w:ascii="仿宋_GB2312" w:hAnsi="宋体" w:eastAsia="仿宋_GB2312"/>
          <w:sz w:val="24"/>
        </w:rPr>
      </w:pPr>
      <w:r>
        <w:rPr>
          <w:rFonts w:hint="eastAsia" w:ascii="仿宋_GB2312" w:hAnsi="宋体" w:eastAsia="仿宋_GB2312"/>
          <w:sz w:val="24"/>
        </w:rPr>
        <w:t>4）</w:t>
      </w:r>
      <w:r>
        <w:rPr>
          <w:rFonts w:hint="eastAsia" w:ascii="仿宋_GB2312" w:hAnsi="宋体" w:eastAsia="仿宋_GB2312"/>
          <w:sz w:val="24"/>
          <w:lang w:val="en-US" w:eastAsia="zh-CN"/>
        </w:rPr>
        <w:t>可进行</w:t>
      </w:r>
      <w:r>
        <w:rPr>
          <w:rFonts w:hint="eastAsia" w:ascii="仿宋_GB2312" w:hAnsi="宋体" w:eastAsia="仿宋_GB2312"/>
          <w:sz w:val="24"/>
        </w:rPr>
        <w:t>在线考试。学生完成学习任务要求后，方可进入考试；若该场考试要求签署实验室安全承诺证书，则考生进入考试需要扫码手签承诺，手写笔迹自动上传至承诺书。</w:t>
      </w:r>
    </w:p>
    <w:p>
      <w:pPr>
        <w:spacing w:line="360" w:lineRule="auto"/>
        <w:ind w:firstLine="420"/>
        <w:rPr>
          <w:rFonts w:hint="eastAsia" w:ascii="仿宋_GB2312" w:hAnsi="宋体" w:eastAsia="仿宋_GB2312"/>
          <w:sz w:val="24"/>
        </w:rPr>
      </w:pPr>
      <w:r>
        <w:rPr>
          <w:rFonts w:hint="eastAsia" w:ascii="仿宋_GB2312" w:hAnsi="宋体" w:eastAsia="仿宋_GB2312"/>
          <w:sz w:val="24"/>
        </w:rPr>
        <w:t>5）</w:t>
      </w:r>
      <w:r>
        <w:rPr>
          <w:rFonts w:hint="eastAsia" w:ascii="仿宋_GB2312" w:hAnsi="宋体" w:eastAsia="仿宋_GB2312"/>
          <w:sz w:val="24"/>
          <w:lang w:val="en-US" w:eastAsia="zh-CN"/>
        </w:rPr>
        <w:t>需设置</w:t>
      </w:r>
      <w:r>
        <w:rPr>
          <w:rFonts w:hint="eastAsia" w:ascii="仿宋_GB2312" w:hAnsi="宋体" w:eastAsia="仿宋_GB2312"/>
          <w:sz w:val="24"/>
        </w:rPr>
        <w:t>权威性题库。题库范围覆盖：通识（涵盖人身、财产、急救等）、化学、机械建筑、电气、辐射、医学生物、特种设备安全、消防安全等方向。</w:t>
      </w:r>
    </w:p>
    <w:p>
      <w:pPr>
        <w:spacing w:line="360" w:lineRule="auto"/>
        <w:ind w:firstLine="420"/>
        <w:rPr>
          <w:rFonts w:hint="eastAsia" w:ascii="仿宋_GB2312" w:hAnsi="宋体" w:eastAsia="仿宋_GB2312"/>
          <w:sz w:val="24"/>
        </w:rPr>
      </w:pPr>
      <w:r>
        <w:rPr>
          <w:rFonts w:hint="eastAsia" w:ascii="仿宋_GB2312" w:hAnsi="宋体" w:eastAsia="仿宋_GB2312"/>
          <w:sz w:val="24"/>
        </w:rPr>
        <w:t>6）</w:t>
      </w:r>
      <w:r>
        <w:rPr>
          <w:rFonts w:hint="eastAsia" w:ascii="仿宋_GB2312" w:hAnsi="宋体" w:eastAsia="仿宋_GB2312"/>
          <w:sz w:val="24"/>
          <w:lang w:val="en-US" w:eastAsia="zh-CN"/>
        </w:rPr>
        <w:t>可进行</w:t>
      </w:r>
      <w:r>
        <w:rPr>
          <w:rFonts w:hint="eastAsia" w:ascii="仿宋_GB2312" w:hAnsi="宋体" w:eastAsia="仿宋_GB2312"/>
          <w:sz w:val="24"/>
        </w:rPr>
        <w:t>考试管理。实现按照学院、专业、班级指定考生范围；实现按题库、知识标签管理设置试题，可分别设置对机试题和固定试题。可指定要求学习时长与具体的学习内容，考生的学习时长达到要求后才可进行该场考核。</w:t>
      </w:r>
    </w:p>
    <w:p>
      <w:pPr>
        <w:spacing w:line="360" w:lineRule="auto"/>
        <w:ind w:firstLine="420"/>
        <w:rPr>
          <w:rFonts w:hint="eastAsia" w:ascii="仿宋_GB2312" w:hAnsi="宋体" w:eastAsia="仿宋_GB2312"/>
          <w:sz w:val="24"/>
        </w:rPr>
      </w:pPr>
      <w:r>
        <w:rPr>
          <w:rFonts w:hint="eastAsia" w:ascii="仿宋_GB2312" w:hAnsi="宋体" w:eastAsia="仿宋_GB2312"/>
          <w:sz w:val="24"/>
        </w:rPr>
        <w:t>7）</w:t>
      </w:r>
      <w:r>
        <w:rPr>
          <w:rFonts w:hint="eastAsia" w:ascii="仿宋_GB2312" w:hAnsi="宋体" w:eastAsia="仿宋_GB2312"/>
          <w:sz w:val="24"/>
          <w:lang w:val="en-US" w:eastAsia="zh-CN"/>
        </w:rPr>
        <w:t>可进行</w:t>
      </w:r>
      <w:r>
        <w:rPr>
          <w:rFonts w:hint="eastAsia" w:ascii="仿宋_GB2312" w:hAnsi="宋体" w:eastAsia="仿宋_GB2312"/>
          <w:sz w:val="24"/>
        </w:rPr>
        <w:t>成绩管理。可通过学院、专业、年级、成绩状态等检索考生成绩进行管理。实现批量导出学生考试成绩，成绩导出可以院系、专业、班级为单位。若某场考试设置了多次考试机会，系统可查看学生的最高成绩，以及每次考试的成绩。</w:t>
      </w:r>
    </w:p>
    <w:p>
      <w:pPr>
        <w:spacing w:line="360" w:lineRule="auto"/>
        <w:ind w:firstLine="420"/>
        <w:rPr>
          <w:rFonts w:hint="eastAsia" w:ascii="仿宋_GB2312" w:hAnsi="宋体" w:eastAsia="仿宋_GB2312"/>
          <w:sz w:val="24"/>
        </w:rPr>
      </w:pPr>
      <w:r>
        <w:rPr>
          <w:rFonts w:hint="eastAsia" w:ascii="仿宋_GB2312" w:hAnsi="宋体" w:eastAsia="仿宋_GB2312"/>
          <w:sz w:val="24"/>
        </w:rPr>
        <w:t>8）合格证书。需可自定义证书模板，系统可获取考生考试数据生成证书，实现批量导出证书。</w:t>
      </w:r>
    </w:p>
    <w:p>
      <w:pPr>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4、化学品全生命周期管理系统</w:t>
      </w:r>
    </w:p>
    <w:p>
      <w:pPr>
        <w:spacing w:line="360" w:lineRule="auto"/>
        <w:ind w:firstLine="420"/>
        <w:rPr>
          <w:rFonts w:hint="eastAsia" w:ascii="仿宋_GB2312" w:hAnsi="宋体" w:eastAsia="仿宋_GB2312"/>
          <w:sz w:val="24"/>
        </w:rPr>
      </w:pPr>
      <w:r>
        <w:rPr>
          <w:rFonts w:hint="eastAsia" w:ascii="仿宋_GB2312" w:hAnsi="宋体" w:eastAsia="仿宋_GB2312"/>
          <w:sz w:val="24"/>
        </w:rPr>
        <w:t>1）全流程管理。</w:t>
      </w:r>
      <w:r>
        <w:rPr>
          <w:rFonts w:hint="eastAsia" w:ascii="仿宋_GB2312" w:hAnsi="宋体" w:eastAsia="仿宋_GB2312"/>
          <w:sz w:val="24"/>
          <w:lang w:val="en-US" w:eastAsia="zh-CN"/>
        </w:rPr>
        <w:t>可</w:t>
      </w:r>
      <w:r>
        <w:rPr>
          <w:rFonts w:hint="eastAsia" w:ascii="仿宋_GB2312" w:hAnsi="宋体" w:eastAsia="仿宋_GB2312"/>
          <w:sz w:val="24"/>
        </w:rPr>
        <w:t>通过“一瓶一码”管控措施的实施，对危险化学品的入库、存储、领用、暂存使用、废弃回收等建立全流程管控。通过扫描化学品二维码，查看其从入库到申领到回库的全过程轨迹。每个轨迹都可查看到具体操作人，以便于责任追溯。</w:t>
      </w:r>
    </w:p>
    <w:p>
      <w:pPr>
        <w:spacing w:line="360" w:lineRule="auto"/>
        <w:ind w:firstLine="420"/>
        <w:rPr>
          <w:rFonts w:hint="eastAsia" w:ascii="仿宋_GB2312" w:hAnsi="宋体" w:eastAsia="仿宋_GB2312"/>
          <w:sz w:val="24"/>
        </w:rPr>
      </w:pPr>
      <w:r>
        <w:rPr>
          <w:rFonts w:hint="eastAsia" w:ascii="仿宋_GB2312" w:hAnsi="宋体" w:eastAsia="仿宋_GB2312"/>
          <w:sz w:val="24"/>
        </w:rPr>
        <w:t>2）化学品名录。</w:t>
      </w:r>
      <w:r>
        <w:rPr>
          <w:rFonts w:hint="eastAsia" w:ascii="仿宋_GB2312" w:hAnsi="宋体" w:eastAsia="仿宋_GB2312"/>
          <w:sz w:val="24"/>
          <w:lang w:val="en-US" w:eastAsia="zh-CN"/>
        </w:rPr>
        <w:t>需</w:t>
      </w:r>
      <w:r>
        <w:rPr>
          <w:rFonts w:hint="eastAsia" w:ascii="仿宋_GB2312" w:hAnsi="宋体" w:eastAsia="仿宋_GB2312"/>
          <w:sz w:val="24"/>
        </w:rPr>
        <w:t>贯彻国家相关文件规定，对剧毒化学品、第一类易制毒化学品和爆炸品(含硝酸铵、苦味酸)、易制爆化学品和第二、三类易制毒化学品、麻醉药品、精神药品和医疗用毒性药品等各类化学品均建有基础数据库，以及对应的MSDS信息，包括但不限于2828种危化品。</w:t>
      </w:r>
    </w:p>
    <w:p>
      <w:pPr>
        <w:spacing w:line="360" w:lineRule="auto"/>
        <w:ind w:firstLine="420"/>
        <w:rPr>
          <w:rFonts w:hint="eastAsia" w:ascii="仿宋_GB2312" w:hAnsi="宋体" w:eastAsia="仿宋_GB2312"/>
          <w:sz w:val="24"/>
        </w:rPr>
      </w:pPr>
      <w:r>
        <w:rPr>
          <w:rFonts w:hint="eastAsia" w:ascii="仿宋_GB2312" w:hAnsi="宋体" w:eastAsia="仿宋_GB2312"/>
          <w:sz w:val="24"/>
        </w:rPr>
        <w:t>3）库存管理。可查看化学品试剂的库存信息，可按照多条件组合查询试剂信息。可设置库存、暂存上限，当库房库存或实验室暂存达到上限阈值时，系统发出预警提醒。</w:t>
      </w:r>
    </w:p>
    <w:p>
      <w:pPr>
        <w:spacing w:line="360" w:lineRule="auto"/>
        <w:ind w:firstLine="420"/>
        <w:rPr>
          <w:rFonts w:hint="eastAsia" w:ascii="仿宋_GB2312" w:hAnsi="宋体" w:eastAsia="仿宋_GB2312"/>
          <w:sz w:val="24"/>
        </w:rPr>
      </w:pPr>
      <w:r>
        <w:rPr>
          <w:rFonts w:hint="eastAsia" w:ascii="仿宋_GB2312" w:hAnsi="宋体" w:eastAsia="仿宋_GB2312"/>
          <w:sz w:val="24"/>
        </w:rPr>
        <w:t>4）入库管理。可批量导入或手动添加化学品信息；并可将化学品与二维码绑定，作为每瓶化学品的唯一身份标识。</w:t>
      </w:r>
    </w:p>
    <w:p>
      <w:pPr>
        <w:spacing w:line="360" w:lineRule="auto"/>
        <w:ind w:firstLine="420"/>
        <w:rPr>
          <w:rFonts w:hint="eastAsia" w:ascii="仿宋_GB2312" w:hAnsi="宋体" w:eastAsia="仿宋_GB2312"/>
          <w:sz w:val="24"/>
        </w:rPr>
      </w:pPr>
      <w:r>
        <w:rPr>
          <w:rFonts w:hint="eastAsia" w:ascii="仿宋_GB2312" w:hAnsi="宋体" w:eastAsia="仿宋_GB2312"/>
          <w:sz w:val="24"/>
        </w:rPr>
        <w:t>5）申领管理。可自定义申领配置，对不同化学品管控类型定义不同的审核流程。申领人申请后，走对应的审核流程。</w:t>
      </w:r>
    </w:p>
    <w:p>
      <w:pPr>
        <w:spacing w:line="360" w:lineRule="auto"/>
        <w:ind w:firstLine="420"/>
        <w:rPr>
          <w:rFonts w:hint="eastAsia" w:ascii="仿宋_GB2312" w:hAnsi="宋体" w:eastAsia="仿宋_GB2312"/>
          <w:sz w:val="24"/>
        </w:rPr>
      </w:pPr>
      <w:r>
        <w:rPr>
          <w:rFonts w:hint="eastAsia" w:ascii="仿宋_GB2312" w:hAnsi="宋体" w:eastAsia="仿宋_GB2312"/>
          <w:sz w:val="24"/>
        </w:rPr>
        <w:t>6）出库管理。PC端</w:t>
      </w:r>
      <w:r>
        <w:rPr>
          <w:rFonts w:hint="eastAsia" w:ascii="仿宋_GB2312" w:hAnsi="宋体" w:eastAsia="仿宋_GB2312"/>
          <w:sz w:val="24"/>
          <w:lang w:val="en-US" w:eastAsia="zh-CN"/>
        </w:rPr>
        <w:t>可</w:t>
      </w:r>
      <w:r>
        <w:rPr>
          <w:rFonts w:hint="eastAsia" w:ascii="仿宋_GB2312" w:hAnsi="宋体" w:eastAsia="仿宋_GB2312"/>
          <w:sz w:val="24"/>
        </w:rPr>
        <w:t>实现按照订单号、申领人来查询订单信息，以进行出库；移动端只需通过扫描申领人的身份二维码，系统即可调用显示申领单的试剂清单，选择试剂即可出库。</w:t>
      </w:r>
    </w:p>
    <w:p>
      <w:pPr>
        <w:spacing w:line="360" w:lineRule="auto"/>
        <w:ind w:firstLine="420"/>
        <w:rPr>
          <w:rFonts w:hint="eastAsia" w:ascii="仿宋_GB2312" w:hAnsi="宋体" w:eastAsia="仿宋_GB2312"/>
          <w:sz w:val="24"/>
        </w:rPr>
      </w:pPr>
      <w:r>
        <w:rPr>
          <w:rFonts w:hint="eastAsia" w:ascii="仿宋_GB2312" w:hAnsi="宋体" w:eastAsia="仿宋_GB2312"/>
          <w:sz w:val="24"/>
        </w:rPr>
        <w:t>7）使用管理。填写化学试剂的使用记录</w:t>
      </w:r>
      <w:r>
        <w:rPr>
          <w:rFonts w:hint="eastAsia" w:ascii="仿宋_GB2312" w:hAnsi="宋体" w:eastAsia="仿宋_GB2312"/>
          <w:sz w:val="24"/>
          <w:lang w:val="en-US" w:eastAsia="zh-CN"/>
        </w:rPr>
        <w:t>信息</w:t>
      </w:r>
      <w:r>
        <w:rPr>
          <w:rFonts w:hint="eastAsia" w:ascii="仿宋_GB2312" w:hAnsi="宋体" w:eastAsia="仿宋_GB2312"/>
          <w:sz w:val="24"/>
        </w:rPr>
        <w:t>，并进行签名操作。使用记录包含试剂的使用过程和使用量信息，系统根据填写的使用量自动计算余量。</w:t>
      </w:r>
    </w:p>
    <w:p>
      <w:pPr>
        <w:spacing w:line="360" w:lineRule="auto"/>
        <w:ind w:firstLine="420"/>
        <w:rPr>
          <w:rFonts w:hint="eastAsia" w:ascii="仿宋_GB2312" w:hAnsi="宋体" w:eastAsia="仿宋_GB2312"/>
          <w:sz w:val="24"/>
        </w:rPr>
      </w:pPr>
      <w:r>
        <w:rPr>
          <w:rFonts w:hint="eastAsia" w:ascii="仿宋_GB2312" w:hAnsi="宋体" w:eastAsia="仿宋_GB2312"/>
          <w:sz w:val="24"/>
        </w:rPr>
        <w:t>8）废弃物管理。废弃物处理申请，填写废弃物类型、回收量、送储中转站以及废弃物说明。系统</w:t>
      </w:r>
      <w:r>
        <w:rPr>
          <w:rFonts w:hint="eastAsia" w:ascii="仿宋_GB2312" w:hAnsi="宋体" w:eastAsia="仿宋_GB2312"/>
          <w:sz w:val="24"/>
          <w:lang w:val="en-US" w:eastAsia="zh-CN"/>
        </w:rPr>
        <w:t>需</w:t>
      </w:r>
      <w:r>
        <w:rPr>
          <w:rFonts w:hint="eastAsia" w:ascii="仿宋_GB2312" w:hAnsi="宋体" w:eastAsia="仿宋_GB2312"/>
          <w:sz w:val="24"/>
        </w:rPr>
        <w:t>生成废弃物台账。</w:t>
      </w:r>
    </w:p>
    <w:p>
      <w:pPr>
        <w:spacing w:line="360" w:lineRule="auto"/>
        <w:ind w:firstLine="420"/>
        <w:rPr>
          <w:rFonts w:hint="eastAsia" w:ascii="仿宋_GB2312" w:hAnsi="宋体" w:eastAsia="仿宋_GB2312"/>
          <w:sz w:val="24"/>
        </w:rPr>
      </w:pPr>
      <w:r>
        <w:rPr>
          <w:rFonts w:hint="eastAsia" w:ascii="仿宋_GB2312" w:hAnsi="宋体" w:eastAsia="仿宋_GB2312"/>
          <w:sz w:val="24"/>
        </w:rPr>
        <w:t>9）数据统计。主要包括库存统计（库房）、暂存统计（实验室房间）、入库台账、领用台账、使用台账、回库台账。</w:t>
      </w:r>
    </w:p>
    <w:p>
      <w:pPr>
        <w:spacing w:line="360" w:lineRule="auto"/>
        <w:ind w:firstLine="420"/>
        <w:rPr>
          <w:rFonts w:hint="eastAsia" w:ascii="仿宋_GB2312" w:hAnsi="宋体" w:eastAsia="仿宋_GB2312"/>
          <w:b/>
          <w:sz w:val="24"/>
        </w:rPr>
      </w:pPr>
      <w:r>
        <w:rPr>
          <w:rFonts w:hint="eastAsia" w:ascii="仿宋_GB2312" w:hAnsi="宋体" w:eastAsia="仿宋_GB2312"/>
          <w:b/>
          <w:sz w:val="24"/>
        </w:rPr>
        <w:t xml:space="preserve">5、实验项目安全风险评估系统 </w:t>
      </w:r>
    </w:p>
    <w:p>
      <w:pPr>
        <w:spacing w:line="360" w:lineRule="auto"/>
        <w:ind w:firstLine="420"/>
        <w:rPr>
          <w:rFonts w:hint="eastAsia" w:ascii="仿宋_GB2312" w:hAnsi="宋体" w:eastAsia="仿宋_GB2312"/>
          <w:sz w:val="24"/>
        </w:rPr>
      </w:pPr>
      <w:r>
        <w:rPr>
          <w:rFonts w:hint="eastAsia" w:ascii="仿宋_GB2312" w:hAnsi="宋体" w:eastAsia="仿宋_GB2312"/>
          <w:sz w:val="24"/>
        </w:rPr>
        <w:t>1）在线填写实验项目风险评估申请，填写相关信息，选择涉及危险源信息，描述使用场景及风险和对应的风险控制和应急措施等。</w:t>
      </w:r>
    </w:p>
    <w:p>
      <w:pPr>
        <w:spacing w:line="360" w:lineRule="auto"/>
        <w:ind w:firstLine="420"/>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lang w:val="en-US" w:eastAsia="zh-CN"/>
        </w:rPr>
        <w:t>应可</w:t>
      </w:r>
      <w:r>
        <w:rPr>
          <w:rFonts w:hint="eastAsia" w:ascii="仿宋_GB2312" w:hAnsi="宋体" w:eastAsia="仿宋_GB2312"/>
          <w:sz w:val="24"/>
        </w:rPr>
        <w:t>实现在线查看申请记录，并实现按条件进行检索。审核人员对申请记录进行审核，不通过时实现填写驳回理由。</w:t>
      </w:r>
    </w:p>
    <w:p>
      <w:pPr>
        <w:spacing w:line="360" w:lineRule="auto"/>
        <w:ind w:firstLine="420"/>
        <w:rPr>
          <w:rFonts w:hint="eastAsia" w:ascii="仿宋_GB2312" w:hAnsi="宋体" w:eastAsia="仿宋_GB2312"/>
          <w:sz w:val="24"/>
        </w:rPr>
      </w:pPr>
      <w:r>
        <w:rPr>
          <w:rFonts w:hint="eastAsia" w:ascii="仿宋_GB2312" w:hAnsi="宋体" w:eastAsia="仿宋_GB2312"/>
          <w:sz w:val="24"/>
        </w:rPr>
        <w:t>3）</w:t>
      </w:r>
      <w:r>
        <w:rPr>
          <w:rFonts w:hint="eastAsia" w:ascii="仿宋_GB2312" w:hAnsi="宋体" w:eastAsia="仿宋_GB2312"/>
          <w:sz w:val="24"/>
          <w:lang w:val="en-US" w:eastAsia="zh-CN"/>
        </w:rPr>
        <w:t>应可</w:t>
      </w:r>
      <w:r>
        <w:rPr>
          <w:rFonts w:hint="eastAsia" w:ascii="仿宋_GB2312" w:hAnsi="宋体" w:eastAsia="仿宋_GB2312"/>
          <w:sz w:val="24"/>
        </w:rPr>
        <w:t>实现自定义审核流程，根据不同项目流程设置需要的审核流程和对应审核人员。</w:t>
      </w:r>
    </w:p>
    <w:p>
      <w:pPr>
        <w:spacing w:line="360" w:lineRule="auto"/>
        <w:ind w:firstLine="420"/>
        <w:rPr>
          <w:rFonts w:hint="eastAsia" w:ascii="仿宋_GB2312" w:hAnsi="宋体" w:eastAsia="仿宋_GB2312"/>
          <w:sz w:val="24"/>
        </w:rPr>
      </w:pPr>
      <w:r>
        <w:rPr>
          <w:rFonts w:hint="eastAsia" w:ascii="仿宋_GB2312" w:hAnsi="宋体" w:eastAsia="仿宋_GB2312"/>
          <w:sz w:val="24"/>
        </w:rPr>
        <w:t>4）</w:t>
      </w:r>
      <w:r>
        <w:rPr>
          <w:rFonts w:hint="eastAsia" w:ascii="仿宋_GB2312" w:hAnsi="宋体" w:eastAsia="仿宋_GB2312"/>
          <w:sz w:val="24"/>
          <w:lang w:val="en-US" w:eastAsia="zh-CN"/>
        </w:rPr>
        <w:t>应可</w:t>
      </w:r>
      <w:r>
        <w:rPr>
          <w:rFonts w:hint="eastAsia" w:ascii="仿宋_GB2312" w:hAnsi="宋体" w:eastAsia="仿宋_GB2312"/>
          <w:sz w:val="24"/>
        </w:rPr>
        <w:t>实现各级单位管理员查看管辖范围内的风险评估台账。</w:t>
      </w:r>
    </w:p>
    <w:p>
      <w:pPr>
        <w:spacing w:line="360" w:lineRule="auto"/>
        <w:ind w:firstLine="420"/>
        <w:rPr>
          <w:rFonts w:hint="eastAsia" w:ascii="仿宋_GB2312" w:hAnsi="宋体" w:eastAsia="仿宋_GB2312"/>
          <w:sz w:val="24"/>
        </w:rPr>
      </w:pPr>
      <w:r>
        <w:rPr>
          <w:rFonts w:hint="eastAsia" w:ascii="仿宋_GB2312" w:hAnsi="宋体" w:eastAsia="仿宋_GB2312"/>
          <w:sz w:val="24"/>
        </w:rPr>
        <w:t>5）</w:t>
      </w:r>
      <w:r>
        <w:rPr>
          <w:rFonts w:hint="eastAsia" w:ascii="仿宋_GB2312" w:hAnsi="宋体" w:eastAsia="仿宋_GB2312"/>
          <w:sz w:val="24"/>
          <w:lang w:val="en-US" w:eastAsia="zh-CN"/>
        </w:rPr>
        <w:t>应可</w:t>
      </w:r>
      <w:r>
        <w:rPr>
          <w:rFonts w:hint="eastAsia" w:ascii="仿宋_GB2312" w:hAnsi="宋体" w:eastAsia="仿宋_GB2312"/>
          <w:sz w:val="24"/>
        </w:rPr>
        <w:t>可通过多种条件组合查询台账，并进行导出。</w:t>
      </w:r>
    </w:p>
    <w:p>
      <w:pPr>
        <w:spacing w:line="360" w:lineRule="auto"/>
        <w:ind w:firstLine="420"/>
        <w:rPr>
          <w:rFonts w:ascii="仿宋_GB2312" w:hAnsi="宋体" w:eastAsia="仿宋_GB2312"/>
          <w:sz w:val="24"/>
        </w:rPr>
      </w:pPr>
      <w:r>
        <w:rPr>
          <w:rFonts w:hint="eastAsia" w:ascii="仿宋_GB2312" w:hAnsi="宋体" w:eastAsia="仿宋_GB2312"/>
          <w:sz w:val="24"/>
        </w:rPr>
        <w:t>6）</w:t>
      </w:r>
      <w:r>
        <w:rPr>
          <w:rFonts w:hint="eastAsia" w:ascii="仿宋_GB2312" w:hAnsi="宋体" w:eastAsia="仿宋_GB2312"/>
          <w:sz w:val="24"/>
          <w:lang w:val="en-US" w:eastAsia="zh-CN"/>
        </w:rPr>
        <w:t>应可</w:t>
      </w:r>
      <w:r>
        <w:rPr>
          <w:rFonts w:hint="eastAsia" w:ascii="仿宋_GB2312" w:hAnsi="宋体" w:eastAsia="仿宋_GB2312"/>
          <w:sz w:val="24"/>
        </w:rPr>
        <w:t>实现在线生成实验室项目风险评估备案汇总表</w:t>
      </w:r>
    </w:p>
    <w:p>
      <w:pPr>
        <w:spacing w:line="360" w:lineRule="auto"/>
        <w:ind w:firstLine="420"/>
        <w:rPr>
          <w:rFonts w:ascii="仿宋_GB2312" w:hAnsi="宋体" w:eastAsia="仿宋_GB2312"/>
          <w:sz w:val="24"/>
        </w:rPr>
      </w:pPr>
      <w:r>
        <w:rPr>
          <w:rFonts w:hint="eastAsia" w:ascii="仿宋_GB2312" w:hAnsi="宋体" w:eastAsia="仿宋_GB2312"/>
          <w:b/>
          <w:sz w:val="24"/>
        </w:rPr>
        <w:t>6、系统对接</w:t>
      </w:r>
      <w:r>
        <w:rPr>
          <w:rFonts w:hint="eastAsia" w:ascii="仿宋_GB2312" w:hAnsi="宋体" w:eastAsia="仿宋_GB2312"/>
          <w:b/>
          <w:sz w:val="24"/>
        </w:rPr>
        <w:tab/>
      </w:r>
      <w:r>
        <w:rPr>
          <w:rFonts w:hint="eastAsia" w:ascii="仿宋_GB2312" w:hAnsi="宋体" w:eastAsia="仿宋_GB2312"/>
          <w:sz w:val="24"/>
        </w:rPr>
        <w:tab/>
      </w:r>
    </w:p>
    <w:p>
      <w:pPr>
        <w:spacing w:line="360" w:lineRule="auto"/>
        <w:ind w:firstLine="420"/>
        <w:rPr>
          <w:rFonts w:hint="eastAsia" w:ascii="仿宋_GB2312" w:hAnsi="宋体" w:eastAsia="仿宋_GB2312"/>
          <w:sz w:val="24"/>
        </w:rPr>
      </w:pPr>
      <w:r>
        <w:rPr>
          <w:rFonts w:hint="eastAsia" w:ascii="仿宋_GB2312" w:hAnsi="宋体" w:eastAsia="仿宋_GB2312"/>
          <w:sz w:val="24"/>
        </w:rPr>
        <w:t>系统需按照学校要求开放接口，实现与智慧校园基础平台及各应用系统集成。按照学校具体要求，实现完成与统一身份认证、数据中心、实验室管理系统、危化品管理库房软件等应用系统及学校后续新建的其他相关业务系统数据免费对接，实现信息交换和资源共享，避免产生信息孤岛，保证数据的一致性和完整性。为方便学校用户网上办事，所有系统或应用应符合碎片化服务的理念，需接入学校统一服务门户，pc端与学校融合门户深入融合，移动端与学校app（掌上理工）、小程序等进行深度融合，实现一站式办理。学校危化品管理库房软件对接，需实现在系统内查看化学品库存、领用记录及危废处置情况等。</w:t>
      </w:r>
    </w:p>
    <w:p>
      <w:pPr>
        <w:spacing w:line="360" w:lineRule="auto"/>
        <w:ind w:firstLine="420"/>
        <w:rPr>
          <w:rFonts w:ascii="仿宋_GB2312" w:hAnsi="宋体" w:eastAsia="仿宋_GB2312"/>
          <w:sz w:val="24"/>
        </w:rPr>
      </w:pPr>
      <w:r>
        <w:rPr>
          <w:rFonts w:hint="eastAsia" w:ascii="仿宋_GB2312" w:hAnsi="宋体" w:eastAsia="仿宋_GB2312"/>
          <w:b/>
          <w:sz w:val="24"/>
        </w:rPr>
        <w:t>7、其他</w:t>
      </w:r>
      <w:r>
        <w:rPr>
          <w:rFonts w:hint="eastAsia" w:ascii="仿宋_GB2312" w:hAnsi="宋体" w:eastAsia="仿宋_GB2312"/>
          <w:b/>
          <w:sz w:val="24"/>
        </w:rPr>
        <w:tab/>
      </w:r>
      <w:r>
        <w:rPr>
          <w:rFonts w:hint="eastAsia" w:ascii="仿宋_GB2312" w:hAnsi="宋体" w:eastAsia="仿宋_GB2312"/>
          <w:sz w:val="24"/>
        </w:rPr>
        <w:tab/>
      </w:r>
    </w:p>
    <w:p>
      <w:pPr>
        <w:spacing w:line="360" w:lineRule="auto"/>
        <w:ind w:firstLine="420"/>
        <w:rPr>
          <w:rFonts w:hint="eastAsia" w:ascii="仿宋_GB2312" w:hAnsi="宋体" w:eastAsia="仿宋_GB2312"/>
          <w:sz w:val="24"/>
        </w:rPr>
      </w:pPr>
      <w:r>
        <w:rPr>
          <w:rFonts w:hint="eastAsia" w:ascii="仿宋_GB2312" w:hAnsi="宋体" w:eastAsia="仿宋_GB2312"/>
          <w:sz w:val="24"/>
        </w:rPr>
        <w:t>系统</w:t>
      </w:r>
      <w:r>
        <w:rPr>
          <w:rFonts w:hint="eastAsia" w:ascii="仿宋_GB2312" w:hAnsi="宋体" w:eastAsia="仿宋_GB2312"/>
          <w:sz w:val="24"/>
          <w:lang w:val="en-US" w:eastAsia="zh-CN"/>
        </w:rPr>
        <w:t>需</w:t>
      </w:r>
      <w:r>
        <w:rPr>
          <w:rFonts w:hint="eastAsia" w:ascii="仿宋_GB2312" w:hAnsi="宋体" w:eastAsia="仿宋_GB2312"/>
          <w:sz w:val="24"/>
        </w:rPr>
        <w:t>本地化部署，所有数据存储在学校服务器上。</w:t>
      </w:r>
    </w:p>
    <w:p>
      <w:pPr>
        <w:spacing w:line="360" w:lineRule="auto"/>
        <w:ind w:firstLine="420"/>
        <w:rPr>
          <w:rFonts w:hint="eastAsia" w:ascii="仿宋_GB2312" w:hAnsi="宋体" w:eastAsia="仿宋_GB2312"/>
          <w:sz w:val="24"/>
        </w:rPr>
      </w:pPr>
      <w:r>
        <w:rPr>
          <w:rFonts w:hint="eastAsia" w:ascii="仿宋_GB2312" w:hAnsi="宋体" w:eastAsia="仿宋_GB2312"/>
          <w:sz w:val="24"/>
        </w:rPr>
        <w:t>系统开发者对于因为程序代码、框架技术以及使用的中间件而产生的应用系统漏洞或bug等程序错误负责维护升级。</w:t>
      </w:r>
    </w:p>
    <w:p>
      <w:pPr>
        <w:spacing w:line="360" w:lineRule="auto"/>
        <w:ind w:firstLine="420"/>
        <w:rPr>
          <w:rFonts w:hint="eastAsia" w:ascii="仿宋_GB2312" w:hAnsi="宋体" w:eastAsia="仿宋_GB2312"/>
          <w:sz w:val="24"/>
        </w:rPr>
      </w:pPr>
      <w:r>
        <w:rPr>
          <w:rFonts w:hint="eastAsia" w:ascii="仿宋_GB2312" w:hAnsi="宋体" w:eastAsia="仿宋_GB2312"/>
          <w:sz w:val="24"/>
        </w:rPr>
        <w:t>系统上线前须经学校相关部门的安全准入检测，不合格的系统不能上线并验收。</w:t>
      </w:r>
    </w:p>
    <w:p>
      <w:pPr>
        <w:spacing w:line="360" w:lineRule="auto"/>
        <w:ind w:firstLine="420"/>
        <w:rPr>
          <w:rFonts w:hint="eastAsia" w:ascii="仿宋_GB2312" w:hAnsi="宋体" w:eastAsia="仿宋_GB2312"/>
          <w:sz w:val="24"/>
        </w:rPr>
      </w:pPr>
      <w:r>
        <w:rPr>
          <w:rFonts w:hint="eastAsia" w:ascii="仿宋_GB2312" w:hAnsi="宋体" w:eastAsia="仿宋_GB2312"/>
          <w:sz w:val="24"/>
        </w:rPr>
        <w:t>系统运行过程中定期或不定期接受相关部门的安全评测，接到系统安全评测或渗透报告后须提供详实可行的整改报告，并立即进行整改，经复测验证合格后方可再次上线运行。</w:t>
      </w:r>
    </w:p>
    <w:p>
      <w:pPr>
        <w:spacing w:line="353" w:lineRule="auto"/>
        <w:ind w:firstLine="482" w:firstLineChars="200"/>
        <w:rPr>
          <w:rFonts w:hint="eastAsia"/>
          <w:b/>
          <w:sz w:val="24"/>
          <w:lang w:val="en-US" w:eastAsia="zh-CN"/>
        </w:rPr>
      </w:pPr>
      <w:r>
        <w:rPr>
          <w:rFonts w:hint="eastAsia"/>
          <w:b/>
          <w:sz w:val="24"/>
          <w:lang w:val="en-US" w:eastAsia="zh-CN"/>
        </w:rPr>
        <w:t>二、参数说明</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投标方提供的设备（软件）可以优于上述参数，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 xml:space="preserve">.  </w:t>
      </w:r>
      <w:r>
        <w:rPr>
          <w:rFonts w:hint="eastAsia" w:ascii="宋体" w:hAnsi="宋体" w:cs="宋体"/>
          <w:color w:val="auto"/>
          <w:kern w:val="0"/>
          <w:sz w:val="24"/>
          <w:lang w:val="en-US" w:eastAsia="zh-CN"/>
        </w:rPr>
        <w:t>品牌要：</w:t>
      </w:r>
      <w:bookmarkStart w:id="58" w:name="_GoBack"/>
      <w:r>
        <w:rPr>
          <w:rFonts w:hint="eastAsia" w:ascii="宋体" w:hAnsi="宋体" w:cs="宋体"/>
          <w:b/>
          <w:bCs/>
          <w:color w:val="auto"/>
          <w:kern w:val="0"/>
          <w:sz w:val="24"/>
        </w:rPr>
        <w:t>创高/埃德伯格/超星</w:t>
      </w:r>
      <w:bookmarkEnd w:id="58"/>
      <w:r>
        <w:rPr>
          <w:rFonts w:hint="eastAsia" w:ascii="宋体" w:hAnsi="宋体" w:cs="宋体"/>
          <w:color w:val="auto"/>
          <w:kern w:val="0"/>
          <w:sz w:val="24"/>
          <w:lang w:val="en-US" w:eastAsia="zh-CN"/>
        </w:rPr>
        <w:t>。</w:t>
      </w:r>
      <w:r>
        <w:rPr>
          <w:rFonts w:hint="eastAsia" w:ascii="宋体" w:hAnsi="宋体" w:cs="宋体"/>
          <w:color w:val="auto"/>
          <w:kern w:val="0"/>
          <w:sz w:val="24"/>
        </w:rPr>
        <w:t>各投标人在应标时，</w:t>
      </w:r>
      <w:r>
        <w:rPr>
          <w:rFonts w:hint="eastAsia" w:ascii="宋体" w:hAnsi="宋体" w:cs="宋体"/>
          <w:color w:val="auto"/>
          <w:kern w:val="0"/>
          <w:sz w:val="24"/>
          <w:lang w:val="en-US" w:eastAsia="zh-CN"/>
        </w:rPr>
        <w:t>应提供设备（软件）的</w:t>
      </w:r>
      <w:r>
        <w:rPr>
          <w:rFonts w:hint="eastAsia" w:ascii="宋体" w:hAnsi="宋体" w:cs="宋体"/>
          <w:color w:val="auto"/>
          <w:kern w:val="0"/>
          <w:sz w:val="24"/>
        </w:rPr>
        <w:t>品牌和具体型号。</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纯软件采购项目无此要求</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pPr>
        <w:spacing w:line="353" w:lineRule="auto"/>
        <w:ind w:firstLine="482" w:firstLineChars="200"/>
        <w:rPr>
          <w:rFonts w:hint="eastAsia"/>
          <w:b/>
          <w:sz w:val="24"/>
          <w:lang w:val="en-US" w:eastAsia="zh-CN"/>
        </w:rPr>
      </w:pPr>
      <w:r>
        <w:rPr>
          <w:rFonts w:hint="eastAsia"/>
          <w:b/>
          <w:sz w:val="24"/>
          <w:lang w:val="en-US" w:eastAsia="zh-CN"/>
        </w:rPr>
        <w:t>三、服务承诺</w:t>
      </w:r>
    </w:p>
    <w:p>
      <w:pPr>
        <w:spacing w:line="353" w:lineRule="auto"/>
        <w:ind w:firstLine="482" w:firstLineChars="200"/>
        <w:rPr>
          <w:rFonts w:hint="eastAsia"/>
          <w:sz w:val="24"/>
        </w:rPr>
      </w:pPr>
      <w:r>
        <w:rPr>
          <w:rFonts w:hint="eastAsia" w:ascii="黑体" w:eastAsia="黑体"/>
          <w:b/>
          <w:sz w:val="24"/>
          <w:lang w:val="en-US" w:eastAsia="zh-CN"/>
        </w:rPr>
        <w:t>1.  所有硬件设备（系统）提供 3 年以上免费人工、原厂部件</w:t>
      </w:r>
      <w:r>
        <w:rPr>
          <w:rFonts w:hint="eastAsia"/>
          <w:sz w:val="24"/>
        </w:rPr>
        <w:t>，7×24 小时响应。</w:t>
      </w:r>
    </w:p>
    <w:p>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项目必需的</w:t>
      </w:r>
      <w:r>
        <w:rPr>
          <w:rFonts w:hint="eastAsia"/>
          <w:sz w:val="24"/>
        </w:rPr>
        <w:t>各种软硬件培训。</w:t>
      </w:r>
    </w:p>
    <w:p>
      <w:pPr>
        <w:spacing w:line="353" w:lineRule="auto"/>
        <w:ind w:firstLine="480" w:firstLineChars="200"/>
        <w:rPr>
          <w:rFonts w:hint="eastAsia"/>
          <w:sz w:val="24"/>
        </w:rPr>
      </w:pPr>
      <w:r>
        <w:rPr>
          <w:rFonts w:hint="eastAsia"/>
          <w:sz w:val="24"/>
        </w:rPr>
        <w:t>5.  提供质保期后的现场服务报价。</w:t>
      </w:r>
    </w:p>
    <w:p>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pPr>
        <w:spacing w:line="353" w:lineRule="auto"/>
        <w:ind w:firstLine="480" w:firstLineChars="200"/>
        <w:rPr>
          <w:rFonts w:ascii="宋体" w:hAnsi="宋体" w:eastAsia="宋体" w:cs="宋体"/>
          <w:spacing w:val="-1"/>
          <w:sz w:val="21"/>
          <w:szCs w:val="21"/>
        </w:rPr>
      </w:pPr>
      <w:r>
        <w:rPr>
          <w:rFonts w:hint="eastAsia"/>
          <w:sz w:val="24"/>
        </w:rPr>
        <w:t>7.  中标人必须负责所采购设备</w:t>
      </w:r>
      <w:r>
        <w:rPr>
          <w:rFonts w:hint="eastAsia"/>
          <w:sz w:val="24"/>
          <w:lang w:eastAsia="zh-CN"/>
        </w:rPr>
        <w:t>（</w:t>
      </w:r>
      <w:r>
        <w:rPr>
          <w:rFonts w:hint="eastAsia"/>
          <w:sz w:val="24"/>
          <w:lang w:val="en-US" w:eastAsia="zh-CN"/>
        </w:rPr>
        <w:t>软件</w:t>
      </w:r>
      <w:r>
        <w:rPr>
          <w:rFonts w:hint="eastAsia"/>
          <w:sz w:val="24"/>
          <w:lang w:eastAsia="zh-CN"/>
        </w:rPr>
        <w:t>）</w:t>
      </w:r>
      <w:r>
        <w:rPr>
          <w:rFonts w:hint="eastAsia"/>
          <w:sz w:val="24"/>
        </w:rPr>
        <w:t>的运输，并负责进场卸货、安装、调试、检测， 合格交付使用，并提供标书要求年限的免费保修。</w:t>
      </w:r>
    </w:p>
    <w:p>
      <w:pPr>
        <w:spacing w:line="353" w:lineRule="auto"/>
        <w:ind w:firstLine="482" w:firstLineChars="200"/>
        <w:rPr>
          <w:rFonts w:hint="default"/>
          <w:b/>
          <w:sz w:val="24"/>
          <w:lang w:val="en-US" w:eastAsia="zh-CN"/>
        </w:rPr>
      </w:pPr>
      <w:r>
        <w:rPr>
          <w:rFonts w:hint="eastAsia"/>
          <w:b/>
          <w:sz w:val="24"/>
          <w:lang w:val="en-US" w:eastAsia="zh-CN"/>
        </w:rPr>
        <w:t>四、验收标准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4" w:type="default"/>
          <w:pgSz w:w="11907" w:h="16839"/>
          <w:pgMar w:top="1427" w:right="1073" w:bottom="1357" w:left="1084" w:header="0" w:footer="1197" w:gutter="0"/>
          <w:pgNumType w:fmt="decimal"/>
          <w:cols w:space="720" w:num="1"/>
        </w:sectPr>
      </w:pPr>
    </w:p>
    <w:p>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92" w:firstLineChars="200"/>
        <w:rPr>
          <w:rFonts w:hint="eastAsia" w:ascii="宋体" w:hAnsi="宋体" w:eastAsia="宋体" w:cs="宋体"/>
          <w:sz w:val="24"/>
          <w:szCs w:val="24"/>
        </w:rPr>
      </w:pP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2024年</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6</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20</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日前</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。中标人必须派出足够的人员到施工现场，确保工期按时完成。并提供详细的安装调试计划及保证措施。</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w:t>
      </w:r>
      <w:r>
        <w:rPr>
          <w:rFonts w:hint="eastAsia" w:ascii="宋体" w:hAnsi="宋体" w:cs="宋体"/>
          <w:sz w:val="24"/>
          <w:szCs w:val="24"/>
          <w:lang w:eastAsia="zh-CN"/>
        </w:rPr>
        <w:t>供的</w:t>
      </w:r>
      <w:r>
        <w:rPr>
          <w:rFonts w:hint="eastAsia" w:ascii="宋体" w:hAnsi="宋体" w:eastAsia="宋体" w:cs="宋体"/>
          <w:sz w:val="24"/>
          <w:szCs w:val="24"/>
        </w:rPr>
        <w:t>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资料如设备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说明书、系统设置与操作步骤等，应包含纸质资料与电子文档。项目所涉及的设备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w:t>
      </w:r>
      <w:r>
        <w:rPr>
          <w:rFonts w:hint="eastAsia" w:ascii="宋体" w:hAnsi="宋体" w:cs="宋体"/>
          <w:b w:val="0"/>
          <w:bCs w:val="0"/>
          <w:color w:val="auto"/>
          <w:sz w:val="24"/>
          <w:szCs w:val="24"/>
          <w:lang w:val="en-US" w:eastAsia="zh-CN"/>
        </w:rPr>
        <w:t>（系统）</w:t>
      </w:r>
      <w:r>
        <w:rPr>
          <w:rFonts w:hint="eastAsia" w:ascii="宋体" w:hAnsi="宋体" w:eastAsia="宋体" w:cs="宋体"/>
          <w:b w:val="0"/>
          <w:bCs w:val="0"/>
          <w:color w:val="auto"/>
          <w:sz w:val="24"/>
          <w:szCs w:val="24"/>
          <w:lang w:val="en-US" w:eastAsia="zh-CN"/>
        </w:rPr>
        <w:t>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w:t>
      </w:r>
      <w:r>
        <w:rPr>
          <w:rFonts w:hint="eastAsia" w:ascii="宋体" w:hAnsi="宋体" w:eastAsia="宋体" w:cs="宋体"/>
          <w:b/>
          <w:bCs/>
          <w:color w:val="auto"/>
          <w:sz w:val="24"/>
          <w:szCs w:val="24"/>
          <w:lang w:val="en-US" w:eastAsia="zh-CN"/>
        </w:rPr>
        <w:t>待验收合格</w:t>
      </w: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lang w:val="en-US" w:eastAsia="zh-CN"/>
        </w:rPr>
        <w:t>年后</w:t>
      </w:r>
      <w:r>
        <w:rPr>
          <w:rFonts w:hint="eastAsia" w:ascii="宋体" w:hAnsi="宋体" w:eastAsia="宋体" w:cs="宋体"/>
          <w:b w:val="0"/>
          <w:bCs w:val="0"/>
          <w:color w:val="auto"/>
          <w:sz w:val="24"/>
          <w:szCs w:val="24"/>
          <w:lang w:val="en-US" w:eastAsia="zh-CN"/>
        </w:rPr>
        <w:t>无重大质量问题后付清</w:t>
      </w:r>
      <w:r>
        <w:rPr>
          <w:rFonts w:hint="eastAsia" w:ascii="宋体" w:hAnsi="宋体" w:eastAsia="宋体" w:cs="宋体"/>
          <w:b w:val="0"/>
          <w:bCs w:val="0"/>
          <w:color w:val="auto"/>
          <w:sz w:val="24"/>
          <w:szCs w:val="24"/>
        </w:rPr>
        <w:t>。</w:t>
      </w:r>
    </w:p>
    <w:p>
      <w:pPr>
        <w:pStyle w:val="20"/>
        <w:rPr>
          <w:rFonts w:ascii="宋体" w:hAnsi="宋体" w:cs="宋体"/>
          <w:sz w:val="24"/>
        </w:rPr>
      </w:pPr>
    </w:p>
    <w:p>
      <w:pPr>
        <w:rPr>
          <w:rFonts w:hint="eastAsia"/>
        </w:rPr>
      </w:pPr>
      <w:bookmarkStart w:id="4" w:name="_Toc12022"/>
      <w:bookmarkStart w:id="5" w:name="_Toc34991461"/>
      <w:bookmarkStart w:id="6" w:name="_Toc231282228"/>
      <w:bookmarkStart w:id="7" w:name="_Toc231279666"/>
      <w:bookmarkStart w:id="8" w:name="_Toc231281705"/>
      <w:bookmarkStart w:id="9" w:name="_Toc231289932"/>
      <w:bookmarkStart w:id="10" w:name="_Toc231284489"/>
      <w:bookmarkStart w:id="11" w:name="_Toc231280938"/>
      <w:bookmarkStart w:id="12" w:name="_Toc231280804"/>
      <w:bookmarkStart w:id="13" w:name="_Toc231289905"/>
      <w:bookmarkStart w:id="14" w:name="_Toc231279586"/>
      <w:bookmarkStart w:id="15" w:name="_Toc231281339"/>
      <w:bookmarkStart w:id="16" w:name="_Toc231289771"/>
      <w:bookmarkStart w:id="17" w:name="_Toc231279247"/>
      <w:bookmarkStart w:id="18" w:name="_Toc231286901"/>
      <w:bookmarkStart w:id="19" w:name="_Toc231305090"/>
      <w:bookmarkStart w:id="20" w:name="_Toc231280344"/>
      <w:bookmarkStart w:id="21" w:name="_Toc231304988"/>
      <w:bookmarkStart w:id="22" w:name="_Toc231279156"/>
      <w:bookmarkStart w:id="23" w:name="_Toc231276966"/>
      <w:bookmarkStart w:id="24" w:name="_Toc231279737"/>
    </w:p>
    <w:p>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pPr>
        <w:rPr>
          <w:rFonts w:hint="eastAsia"/>
        </w:rPr>
      </w:pP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bCs w:val="0"/>
          <w:color w:val="000000"/>
          <w:sz w:val="21"/>
          <w:szCs w:val="21"/>
        </w:rPr>
      </w:pPr>
      <w:bookmarkStart w:id="25" w:name="_Toc30593"/>
      <w:bookmarkStart w:id="26" w:name="_Toc34991462"/>
      <w:bookmarkStart w:id="27" w:name="_Toc231280941"/>
      <w:bookmarkStart w:id="28" w:name="_Toc231289935"/>
      <w:bookmarkStart w:id="29" w:name="_Toc231284492"/>
      <w:bookmarkStart w:id="30" w:name="_Toc231305093"/>
      <w:bookmarkStart w:id="31" w:name="_Toc231289908"/>
      <w:bookmarkStart w:id="32" w:name="_Toc231286904"/>
      <w:bookmarkStart w:id="33" w:name="_Toc231280347"/>
      <w:bookmarkStart w:id="34" w:name="_Toc231279669"/>
      <w:bookmarkStart w:id="35" w:name="_Toc231281342"/>
      <w:bookmarkStart w:id="36" w:name="_Toc231280807"/>
      <w:bookmarkStart w:id="37" w:name="_Toc231279589"/>
      <w:bookmarkStart w:id="38" w:name="_Toc231279740"/>
      <w:bookmarkStart w:id="39" w:name="_Toc231281708"/>
      <w:bookmarkStart w:id="40" w:name="_Toc231289774"/>
      <w:bookmarkStart w:id="41" w:name="_Toc407266082"/>
      <w:bookmarkStart w:id="42" w:name="_Toc231304991"/>
      <w:bookmarkStart w:id="43" w:name="_Toc231282231"/>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hAnsi="宋体"/>
          <w:color w:val="000000"/>
          <w:spacing w:val="4"/>
          <w:sz w:val="24"/>
        </w:rPr>
      </w:pPr>
    </w:p>
    <w:p>
      <w:pPr>
        <w:pStyle w:val="3"/>
        <w:rPr>
          <w:rFonts w:ascii="宋体" w:hAnsi="宋体"/>
          <w:color w:val="000000"/>
          <w:spacing w:val="4"/>
          <w:sz w:val="24"/>
        </w:rPr>
      </w:pPr>
      <w:r>
        <w:rPr>
          <w:rFonts w:ascii="宋体" w:hAnsi="宋体"/>
          <w:color w:val="000000"/>
          <w:spacing w:val="4"/>
          <w:sz w:val="24"/>
        </w:rPr>
        <w:br w:type="page"/>
      </w:r>
      <w:bookmarkStart w:id="46" w:name="_Toc8152"/>
      <w:bookmarkStart w:id="47" w:name="_Toc34991464"/>
    </w:p>
    <w:p>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pPr>
        <w:pStyle w:val="7"/>
        <w:spacing w:line="390" w:lineRule="auto"/>
      </w:pPr>
    </w:p>
    <w:p>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pPr>
              <w:rPr>
                <w:rFonts w:ascii="Arial"/>
                <w:sz w:val="21"/>
              </w:rPr>
            </w:pPr>
          </w:p>
        </w:tc>
        <w:tc>
          <w:tcPr>
            <w:tcW w:w="1658" w:type="dxa"/>
            <w:vAlign w:val="top"/>
          </w:tcPr>
          <w:p>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pPr>
              <w:rPr>
                <w:rFonts w:ascii="Arial"/>
                <w:sz w:val="21"/>
              </w:rPr>
            </w:pPr>
          </w:p>
        </w:tc>
        <w:tc>
          <w:tcPr>
            <w:tcW w:w="2553" w:type="dxa"/>
            <w:gridSpan w:val="2"/>
            <w:vAlign w:val="top"/>
          </w:tcPr>
          <w:p>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pPr>
              <w:rPr>
                <w:rFonts w:ascii="Arial"/>
                <w:sz w:val="21"/>
              </w:rPr>
            </w:pPr>
          </w:p>
        </w:tc>
        <w:tc>
          <w:tcPr>
            <w:tcW w:w="1191" w:type="dxa"/>
            <w:vAlign w:val="top"/>
          </w:tcPr>
          <w:p>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pPr>
              <w:rPr>
                <w:rFonts w:ascii="Arial"/>
                <w:sz w:val="21"/>
              </w:rPr>
            </w:pPr>
          </w:p>
        </w:tc>
      </w:tr>
    </w:tbl>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pPr>
        <w:rPr>
          <w:rFonts w:hint="eastAsia" w:ascii="宋体" w:hAnsi="宋体"/>
          <w:b w:val="0"/>
          <w:color w:val="000000"/>
          <w:sz w:val="21"/>
          <w:szCs w:val="21"/>
        </w:rPr>
      </w:pPr>
    </w:p>
    <w:p>
      <w:pPr>
        <w:rPr>
          <w:rFonts w:hint="eastAsia" w:ascii="宋体" w:hAnsi="宋体"/>
          <w:b w:val="0"/>
          <w:color w:val="000000"/>
          <w:sz w:val="21"/>
          <w:szCs w:val="21"/>
        </w:rPr>
      </w:pPr>
    </w:p>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pPr>
        <w:spacing w:line="360" w:lineRule="auto"/>
        <w:ind w:firstLine="480" w:firstLineChars="200"/>
        <w:rPr>
          <w:rFonts w:ascii="宋体"/>
          <w:color w:val="000000"/>
          <w:sz w:val="24"/>
        </w:rPr>
      </w:pPr>
    </w:p>
    <w:p>
      <w:pPr>
        <w:pStyle w:val="3"/>
        <w:rPr>
          <w:rFonts w:ascii="宋体"/>
          <w:b w:val="0"/>
          <w:color w:val="000000"/>
          <w:sz w:val="36"/>
          <w:szCs w:val="36"/>
        </w:rPr>
      </w:pPr>
      <w:r>
        <w:rPr>
          <w:rFonts w:ascii="宋体"/>
          <w:color w:val="000000"/>
          <w:sz w:val="24"/>
        </w:rPr>
        <w:br w:type="page"/>
      </w:r>
      <w:bookmarkStart w:id="48" w:name="_Toc17756"/>
      <w:bookmarkStart w:id="49" w:name="_Toc34991465"/>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50" w:name="_Toc34991466"/>
      <w:bookmarkStart w:id="51" w:name="_Toc29319"/>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2336"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2336;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60288;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3360;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1312;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pPr>
        <w:pStyle w:val="7"/>
        <w:spacing w:line="290" w:lineRule="auto"/>
      </w:pPr>
    </w:p>
    <w:p>
      <w:pPr>
        <w:pStyle w:val="7"/>
        <w:spacing w:line="290" w:lineRule="auto"/>
      </w:pPr>
    </w:p>
    <w:p>
      <w:pPr>
        <w:pStyle w:val="7"/>
        <w:spacing w:line="291" w:lineRule="auto"/>
      </w:pPr>
    </w:p>
    <w:p>
      <w:pPr>
        <w:pStyle w:val="7"/>
        <w:spacing w:line="291" w:lineRule="auto"/>
      </w:pPr>
    </w:p>
    <w:p>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pPr>
        <w:pStyle w:val="7"/>
        <w:spacing w:line="329" w:lineRule="auto"/>
      </w:pPr>
    </w:p>
    <w:p>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pPr>
        <w:pStyle w:val="3"/>
        <w:rPr>
          <w:color w:val="000000"/>
        </w:rPr>
      </w:pPr>
    </w:p>
    <w:p>
      <w:pPr>
        <w:pStyle w:val="3"/>
        <w:rPr>
          <w:color w:val="000000"/>
        </w:rPr>
      </w:pPr>
    </w:p>
    <w:p>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pPr>
        <w:pStyle w:val="7"/>
        <w:spacing w:line="317" w:lineRule="auto"/>
      </w:pPr>
    </w:p>
    <w:p>
      <w:pPr>
        <w:pStyle w:val="7"/>
        <w:spacing w:line="317" w:lineRule="auto"/>
      </w:pPr>
    </w:p>
    <w:p>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pPr>
        <w:pStyle w:val="7"/>
        <w:spacing w:line="244" w:lineRule="auto"/>
      </w:pPr>
    </w:p>
    <w:p>
      <w:pPr>
        <w:pStyle w:val="7"/>
        <w:spacing w:line="244" w:lineRule="auto"/>
      </w:pPr>
    </w:p>
    <w:p>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4"/>
        <w:rPr>
          <w:rFonts w:ascii="宋体" w:hAnsi="宋体" w:eastAsia="宋体" w:cs="宋体"/>
          <w:spacing w:val="-10"/>
          <w:sz w:val="28"/>
          <w:szCs w:val="28"/>
        </w:rPr>
      </w:pPr>
    </w:p>
    <w:p>
      <w:pPr>
        <w:pStyle w:val="3"/>
        <w:rPr>
          <w:b w:val="0"/>
          <w:color w:val="000000"/>
          <w:sz w:val="44"/>
          <w:szCs w:val="44"/>
        </w:rPr>
      </w:pPr>
      <w:bookmarkStart w:id="56" w:name="_Toc30136"/>
      <w:bookmarkStart w:id="57" w:name="_Toc34991468"/>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14"/>
        <w:rPr>
          <w:rFonts w:ascii="宋体" w:hAnsi="宋体" w:eastAsia="宋体" w:cs="宋体"/>
          <w:spacing w:val="-10"/>
          <w:sz w:val="28"/>
          <w:szCs w:val="28"/>
        </w:rPr>
      </w:pPr>
    </w:p>
    <w:sectPr>
      <w:headerReference r:id="rId5" w:type="default"/>
      <w:footerReference r:id="rId6"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CABFE8"/>
    <w:multiLevelType w:val="singleLevel"/>
    <w:tmpl w:val="3FCABFE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wNzVlYzIxMTQyZDJjODVlNjZlMzMzODRmMTQyMmM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8D72DF"/>
    <w:rsid w:val="03CB7BFA"/>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9F838D2"/>
    <w:rsid w:val="0A076B0A"/>
    <w:rsid w:val="0A833281"/>
    <w:rsid w:val="0B92287D"/>
    <w:rsid w:val="0BE36945"/>
    <w:rsid w:val="0C0F4CA9"/>
    <w:rsid w:val="0C1110C3"/>
    <w:rsid w:val="0CDD29F0"/>
    <w:rsid w:val="0CFF7B5C"/>
    <w:rsid w:val="0D1F5AB9"/>
    <w:rsid w:val="0D2D7BF7"/>
    <w:rsid w:val="0DBB5368"/>
    <w:rsid w:val="0DC7755F"/>
    <w:rsid w:val="0E995732"/>
    <w:rsid w:val="0EAF24CD"/>
    <w:rsid w:val="0EF12411"/>
    <w:rsid w:val="0F315D59"/>
    <w:rsid w:val="0F491384"/>
    <w:rsid w:val="0F4D7792"/>
    <w:rsid w:val="0FB86E64"/>
    <w:rsid w:val="0FD23F5F"/>
    <w:rsid w:val="0FED6606"/>
    <w:rsid w:val="101C0C30"/>
    <w:rsid w:val="102F5FF2"/>
    <w:rsid w:val="10A122E9"/>
    <w:rsid w:val="10A34788"/>
    <w:rsid w:val="10EF574B"/>
    <w:rsid w:val="11406584"/>
    <w:rsid w:val="116575D6"/>
    <w:rsid w:val="11A007F3"/>
    <w:rsid w:val="121B171E"/>
    <w:rsid w:val="12981050"/>
    <w:rsid w:val="13841069"/>
    <w:rsid w:val="145566DF"/>
    <w:rsid w:val="1457547C"/>
    <w:rsid w:val="146F4B92"/>
    <w:rsid w:val="147F2942"/>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ED0AD9"/>
    <w:rsid w:val="1C0466A8"/>
    <w:rsid w:val="1C364BBA"/>
    <w:rsid w:val="1C5A0D28"/>
    <w:rsid w:val="1CA476F7"/>
    <w:rsid w:val="1CDE25D6"/>
    <w:rsid w:val="1CFC4FCF"/>
    <w:rsid w:val="1D7D3B03"/>
    <w:rsid w:val="1E6D7CAF"/>
    <w:rsid w:val="1F3D6311"/>
    <w:rsid w:val="207F2647"/>
    <w:rsid w:val="20801F1B"/>
    <w:rsid w:val="20C96E58"/>
    <w:rsid w:val="21391D4A"/>
    <w:rsid w:val="21AA36F4"/>
    <w:rsid w:val="22C97E48"/>
    <w:rsid w:val="23502079"/>
    <w:rsid w:val="23B762FF"/>
    <w:rsid w:val="24066C35"/>
    <w:rsid w:val="24471A0C"/>
    <w:rsid w:val="24572F93"/>
    <w:rsid w:val="252F7C57"/>
    <w:rsid w:val="25614FEA"/>
    <w:rsid w:val="268564DD"/>
    <w:rsid w:val="26BA5242"/>
    <w:rsid w:val="26F90805"/>
    <w:rsid w:val="27093B2F"/>
    <w:rsid w:val="27181100"/>
    <w:rsid w:val="27202030"/>
    <w:rsid w:val="272950BB"/>
    <w:rsid w:val="27397933"/>
    <w:rsid w:val="275444B5"/>
    <w:rsid w:val="28700AC7"/>
    <w:rsid w:val="29552D45"/>
    <w:rsid w:val="29BD5F8E"/>
    <w:rsid w:val="29CD1C30"/>
    <w:rsid w:val="2A70221C"/>
    <w:rsid w:val="2B8453D4"/>
    <w:rsid w:val="2C432879"/>
    <w:rsid w:val="2C627C4F"/>
    <w:rsid w:val="2C773E2D"/>
    <w:rsid w:val="2CE77338"/>
    <w:rsid w:val="2D202ABC"/>
    <w:rsid w:val="2D2B3EDE"/>
    <w:rsid w:val="2D6C3CDD"/>
    <w:rsid w:val="2D73607B"/>
    <w:rsid w:val="2DCE28FC"/>
    <w:rsid w:val="2E832474"/>
    <w:rsid w:val="2E95234A"/>
    <w:rsid w:val="2E9F3ACA"/>
    <w:rsid w:val="2EBD433B"/>
    <w:rsid w:val="2EFF1B09"/>
    <w:rsid w:val="2F3945C8"/>
    <w:rsid w:val="2FD7142C"/>
    <w:rsid w:val="302A3C52"/>
    <w:rsid w:val="30830122"/>
    <w:rsid w:val="308560E4"/>
    <w:rsid w:val="30ED7B79"/>
    <w:rsid w:val="3166515D"/>
    <w:rsid w:val="31C854D0"/>
    <w:rsid w:val="324575E5"/>
    <w:rsid w:val="32596A25"/>
    <w:rsid w:val="33F05D23"/>
    <w:rsid w:val="34106280"/>
    <w:rsid w:val="342F3A6A"/>
    <w:rsid w:val="34652CD6"/>
    <w:rsid w:val="358677E9"/>
    <w:rsid w:val="35F966E1"/>
    <w:rsid w:val="364E7665"/>
    <w:rsid w:val="36971C9C"/>
    <w:rsid w:val="36D601E8"/>
    <w:rsid w:val="36FA72A6"/>
    <w:rsid w:val="371C5AC4"/>
    <w:rsid w:val="37E27915"/>
    <w:rsid w:val="389D2E5E"/>
    <w:rsid w:val="38E8560F"/>
    <w:rsid w:val="391C0B65"/>
    <w:rsid w:val="39CE671F"/>
    <w:rsid w:val="39FF1CAB"/>
    <w:rsid w:val="3A7206CF"/>
    <w:rsid w:val="3AF60EC6"/>
    <w:rsid w:val="3B00217F"/>
    <w:rsid w:val="3B5211DC"/>
    <w:rsid w:val="3B7675A0"/>
    <w:rsid w:val="3BF3157C"/>
    <w:rsid w:val="3C340801"/>
    <w:rsid w:val="3C7A1ABD"/>
    <w:rsid w:val="3CFF5E1E"/>
    <w:rsid w:val="3D9267FC"/>
    <w:rsid w:val="3E391328"/>
    <w:rsid w:val="3E7D6853"/>
    <w:rsid w:val="3EA4349B"/>
    <w:rsid w:val="3ECF32FA"/>
    <w:rsid w:val="40762F92"/>
    <w:rsid w:val="408D6263"/>
    <w:rsid w:val="41303810"/>
    <w:rsid w:val="416A65A4"/>
    <w:rsid w:val="4198777F"/>
    <w:rsid w:val="42073DF3"/>
    <w:rsid w:val="4218578B"/>
    <w:rsid w:val="43654233"/>
    <w:rsid w:val="44557675"/>
    <w:rsid w:val="44B07A08"/>
    <w:rsid w:val="45150F64"/>
    <w:rsid w:val="45BB5620"/>
    <w:rsid w:val="46363230"/>
    <w:rsid w:val="464579F7"/>
    <w:rsid w:val="46C0348B"/>
    <w:rsid w:val="46FD1054"/>
    <w:rsid w:val="4796382D"/>
    <w:rsid w:val="47BB194D"/>
    <w:rsid w:val="485A31EE"/>
    <w:rsid w:val="489F5E3B"/>
    <w:rsid w:val="48AB7EFE"/>
    <w:rsid w:val="490258E8"/>
    <w:rsid w:val="49342513"/>
    <w:rsid w:val="494F67AB"/>
    <w:rsid w:val="4A0A53EF"/>
    <w:rsid w:val="4BA73E97"/>
    <w:rsid w:val="4BC86126"/>
    <w:rsid w:val="4C516396"/>
    <w:rsid w:val="4C797198"/>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4D23DEC"/>
    <w:rsid w:val="56215851"/>
    <w:rsid w:val="56E878F7"/>
    <w:rsid w:val="57C46052"/>
    <w:rsid w:val="5822606F"/>
    <w:rsid w:val="58A73B18"/>
    <w:rsid w:val="58E514AF"/>
    <w:rsid w:val="59F73FA9"/>
    <w:rsid w:val="5A4C3E5A"/>
    <w:rsid w:val="5A7D7B3D"/>
    <w:rsid w:val="5B4E3863"/>
    <w:rsid w:val="5C65182B"/>
    <w:rsid w:val="5C893843"/>
    <w:rsid w:val="5CEA1B7D"/>
    <w:rsid w:val="5D613C65"/>
    <w:rsid w:val="5D8C3A2F"/>
    <w:rsid w:val="5E9474D3"/>
    <w:rsid w:val="5F19213D"/>
    <w:rsid w:val="5F230066"/>
    <w:rsid w:val="5F5B21A9"/>
    <w:rsid w:val="5FAA6092"/>
    <w:rsid w:val="60E4227B"/>
    <w:rsid w:val="616B0426"/>
    <w:rsid w:val="619B033C"/>
    <w:rsid w:val="61B91426"/>
    <w:rsid w:val="62126170"/>
    <w:rsid w:val="628726BA"/>
    <w:rsid w:val="62B03E2D"/>
    <w:rsid w:val="635C1859"/>
    <w:rsid w:val="63C92C54"/>
    <w:rsid w:val="63F72B3A"/>
    <w:rsid w:val="63F9140D"/>
    <w:rsid w:val="64F8789F"/>
    <w:rsid w:val="65DB3287"/>
    <w:rsid w:val="65EB428F"/>
    <w:rsid w:val="66093965"/>
    <w:rsid w:val="67784E22"/>
    <w:rsid w:val="67BD26DA"/>
    <w:rsid w:val="67DA08F2"/>
    <w:rsid w:val="67E75076"/>
    <w:rsid w:val="68435C26"/>
    <w:rsid w:val="688345E5"/>
    <w:rsid w:val="68BA3557"/>
    <w:rsid w:val="68FA0664"/>
    <w:rsid w:val="69036A8A"/>
    <w:rsid w:val="69D525EC"/>
    <w:rsid w:val="6BC1223C"/>
    <w:rsid w:val="6BE33FA7"/>
    <w:rsid w:val="6BF55A4E"/>
    <w:rsid w:val="6C465F5C"/>
    <w:rsid w:val="6C6178D9"/>
    <w:rsid w:val="6D95791B"/>
    <w:rsid w:val="6ED44BD4"/>
    <w:rsid w:val="6FDD7144"/>
    <w:rsid w:val="70281CF1"/>
    <w:rsid w:val="704C4991"/>
    <w:rsid w:val="70B34FC2"/>
    <w:rsid w:val="71294FA1"/>
    <w:rsid w:val="71885DD2"/>
    <w:rsid w:val="71D72C0E"/>
    <w:rsid w:val="71E219F3"/>
    <w:rsid w:val="72224E32"/>
    <w:rsid w:val="72370CB6"/>
    <w:rsid w:val="72963BA6"/>
    <w:rsid w:val="729907F9"/>
    <w:rsid w:val="72C47013"/>
    <w:rsid w:val="732B25B2"/>
    <w:rsid w:val="73CC7AC9"/>
    <w:rsid w:val="747554DC"/>
    <w:rsid w:val="74E90FB2"/>
    <w:rsid w:val="7548217D"/>
    <w:rsid w:val="75812F99"/>
    <w:rsid w:val="759728B6"/>
    <w:rsid w:val="75B94E29"/>
    <w:rsid w:val="76335855"/>
    <w:rsid w:val="763A7532"/>
    <w:rsid w:val="77C16289"/>
    <w:rsid w:val="77C819C8"/>
    <w:rsid w:val="77D53B6D"/>
    <w:rsid w:val="77F9775E"/>
    <w:rsid w:val="78246CD9"/>
    <w:rsid w:val="785250C1"/>
    <w:rsid w:val="78930A25"/>
    <w:rsid w:val="79427311"/>
    <w:rsid w:val="7A5806A3"/>
    <w:rsid w:val="7A835A7B"/>
    <w:rsid w:val="7A9018C8"/>
    <w:rsid w:val="7AE077B3"/>
    <w:rsid w:val="7B7E5661"/>
    <w:rsid w:val="7BA3306A"/>
    <w:rsid w:val="7C0204A3"/>
    <w:rsid w:val="7C5807CC"/>
    <w:rsid w:val="7C6A78A5"/>
    <w:rsid w:val="7D546E14"/>
    <w:rsid w:val="7D783DA2"/>
    <w:rsid w:val="7DC829BF"/>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10033</Words>
  <Characters>10532</Characters>
  <Lines>134</Lines>
  <Paragraphs>37</Paragraphs>
  <TotalTime>0</TotalTime>
  <ScaleCrop>false</ScaleCrop>
  <LinksUpToDate>false</LinksUpToDate>
  <CharactersWithSpaces>11267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开着拖开机超越布嘉迪</cp:lastModifiedBy>
  <cp:lastPrinted>2023-11-30T07:44:00Z</cp:lastPrinted>
  <dcterms:modified xsi:type="dcterms:W3CDTF">2024-04-26T09:26:09Z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3429A8E51C444FC8A54864AF28A1FA0D_13</vt:lpwstr>
  </property>
</Properties>
</file>