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细胞生物学</w:t>
      </w:r>
      <w:r>
        <w:rPr>
          <w:rFonts w:hint="eastAsia" w:ascii="宋体" w:hAnsi="宋体" w:cs="宋体"/>
          <w:b/>
          <w:bCs/>
          <w:sz w:val="32"/>
          <w:szCs w:val="32"/>
        </w:rPr>
        <w:t>实验室</w:t>
      </w:r>
      <w:r>
        <w:rPr>
          <w:rFonts w:hint="eastAsia" w:ascii="宋体" w:hAnsi="宋体" w:cs="宋体"/>
          <w:b/>
          <w:bCs/>
          <w:sz w:val="32"/>
          <w:szCs w:val="32"/>
          <w:lang w:val="en-US" w:eastAsia="zh-CN"/>
        </w:rPr>
        <w:t>设备采购</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ZCZB2024056</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年</w:t>
      </w:r>
      <w:r>
        <w:rPr>
          <w:rFonts w:hint="eastAsia" w:ascii="黑体" w:hAnsi="黑体" w:eastAsia="黑体" w:cs="黑体"/>
          <w:b/>
          <w:bCs/>
          <w:sz w:val="32"/>
          <w:szCs w:val="32"/>
          <w:highlight w:val="none"/>
          <w:lang w:val="en-US" w:eastAsia="zh-CN"/>
        </w:rPr>
        <w:t>1</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color w:val="auto"/>
          <w:sz w:val="24"/>
          <w:szCs w:val="24"/>
          <w:lang w:val="en-US" w:eastAsia="zh-CN"/>
        </w:rPr>
        <w:t>健康医学院细胞生物学实验室设备采购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531BC5B8">
      <w:pPr>
        <w:spacing w:line="360" w:lineRule="exact"/>
        <w:ind w:left="-1" w:firstLine="480" w:firstLineChars="200"/>
        <w:rPr>
          <w:rFonts w:hint="default" w:ascii="宋体" w:hAnsi="宋体" w:eastAsia="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z w:val="24"/>
          <w:szCs w:val="24"/>
          <w:lang w:val="en-US" w:eastAsia="zh-CN"/>
        </w:rPr>
        <w:t>细胞生物学实验室设备采购</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C5F2A15">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南通校区健康医学院807、811。</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合同签订后一个月内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38DAE574">
      <w:pPr>
        <w:spacing w:line="360" w:lineRule="exact"/>
        <w:ind w:left="-1" w:firstLine="480" w:firstLineChars="200"/>
        <w:rPr>
          <w:rFonts w:hint="eastAsia" w:ascii="宋体" w:hAnsi="宋体" w:eastAsia="宋体" w:cs="宋体"/>
          <w:color w:val="0000FF"/>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0000FF"/>
          <w:sz w:val="24"/>
          <w:szCs w:val="24"/>
        </w:rPr>
        <w:t>具备履行合同所必需的设备和专业技术能力。■供应商自行提供具备履行合同所必需的设备和专业技术能力的承诺书；</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600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13</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13</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3992A6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技术咨询：</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0E8BFEA">
      <w:pPr>
        <w:spacing w:line="360" w:lineRule="auto"/>
        <w:ind w:firstLine="643" w:firstLineChars="200"/>
        <w:jc w:val="center"/>
        <w:rPr>
          <w:rFonts w:hint="eastAsia"/>
          <w:b/>
          <w:bCs/>
          <w:sz w:val="32"/>
          <w:szCs w:val="32"/>
        </w:rPr>
      </w:pPr>
    </w:p>
    <w:p w14:paraId="4CC60A0A">
      <w:pPr>
        <w:spacing w:line="360" w:lineRule="auto"/>
        <w:ind w:firstLine="643" w:firstLineChars="200"/>
        <w:jc w:val="center"/>
        <w:rPr>
          <w:rFonts w:hint="eastAsia"/>
          <w:b/>
          <w:bCs/>
          <w:sz w:val="32"/>
          <w:szCs w:val="32"/>
        </w:rPr>
      </w:pPr>
    </w:p>
    <w:p w14:paraId="3CC66711">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auto"/>
          <w:sz w:val="24"/>
          <w:lang w:val="en-US" w:eastAsia="zh-CN"/>
        </w:rPr>
      </w:pPr>
      <w:r>
        <w:rPr>
          <w:rFonts w:hint="eastAsia" w:ascii="Times New Roman" w:hAnsi="Times New Roman" w:eastAsia="宋体" w:cs="Times New Roman"/>
          <w:sz w:val="24"/>
          <w:lang w:val="en-US" w:eastAsia="zh-CN"/>
        </w:rPr>
        <w:t>（8）</w:t>
      </w:r>
      <w:r>
        <w:rPr>
          <w:rFonts w:hint="eastAsia"/>
          <w:color w:val="0070C0"/>
          <w:sz w:val="24"/>
          <w:lang w:eastAsia="zh-CN"/>
        </w:rPr>
        <w:t>货物非生产厂家投标需提供生产厂家（或全国总代、全国独代）出具的销售代理授权书或本项目的专项投标授权书（</w:t>
      </w:r>
      <w:r>
        <w:rPr>
          <w:rFonts w:hint="eastAsia"/>
          <w:color w:val="0070C0"/>
          <w:sz w:val="24"/>
          <w:lang w:val="en-US" w:eastAsia="zh-CN"/>
        </w:rPr>
        <w:t>或</w:t>
      </w:r>
      <w:r>
        <w:rPr>
          <w:rFonts w:hint="eastAsia" w:ascii="黑体" w:eastAsia="黑体"/>
          <w:b/>
          <w:color w:val="auto"/>
          <w:sz w:val="24"/>
          <w:lang w:val="en-US" w:eastAsia="zh-CN"/>
        </w:rPr>
        <w:t>投标人提供在中标后设备生产单位的产品授权书和质保函的相关承诺书）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C8CBB6D">
      <w:pPr>
        <w:keepNext w:val="0"/>
        <w:keepLines w:val="0"/>
        <w:widowControl/>
        <w:suppressLineNumbers w:val="0"/>
        <w:ind w:firstLine="480" w:firstLineChars="200"/>
        <w:jc w:val="left"/>
        <w:rPr>
          <w:rFonts w:hint="eastAsia"/>
          <w:color w:val="0000FF"/>
          <w:sz w:val="24"/>
          <w:lang w:val="en-GB"/>
        </w:rPr>
      </w:pPr>
      <w:r>
        <w:rPr>
          <w:rFonts w:hint="eastAsia"/>
          <w:sz w:val="24"/>
          <w:lang w:eastAsia="zh-CN"/>
        </w:rPr>
        <w:t>（</w:t>
      </w:r>
      <w:r>
        <w:rPr>
          <w:rFonts w:hint="eastAsia"/>
          <w:sz w:val="24"/>
          <w:lang w:val="en-US" w:eastAsia="zh-CN"/>
        </w:rPr>
        <w:t>3</w:t>
      </w:r>
      <w:r>
        <w:rPr>
          <w:rFonts w:hint="eastAsia"/>
          <w:sz w:val="24"/>
          <w:lang w:eastAsia="zh-CN"/>
        </w:rPr>
        <w:t>）</w:t>
      </w:r>
      <w:r>
        <w:rPr>
          <w:rFonts w:hint="eastAsia"/>
          <w:color w:val="0000FF"/>
          <w:sz w:val="24"/>
          <w:lang w:val="en-US" w:eastAsia="zh-CN"/>
        </w:rPr>
        <w:t>投标报价应列明投标货物的名称、产地、制造厂商、品牌、型号、详细规格、交货期等。投标人应在投标分项报价表上标明投标货物/服务的单价和总价。</w:t>
      </w:r>
    </w:p>
    <w:p w14:paraId="160F02D6">
      <w:pPr>
        <w:spacing w:line="360" w:lineRule="auto"/>
        <w:ind w:firstLine="480" w:firstLineChars="200"/>
        <w:rPr>
          <w:rFonts w:hint="eastAsia"/>
          <w:sz w:val="24"/>
          <w:lang w:eastAsia="zh-CN"/>
        </w:rPr>
      </w:pP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ascii="黑体" w:hAnsi="黑体" w:eastAsia="黑体" w:cs="黑体"/>
          <w:b/>
          <w:bCs/>
          <w:sz w:val="24"/>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1D650E32">
      <w:pPr>
        <w:spacing w:line="360" w:lineRule="auto"/>
        <w:ind w:firstLine="480" w:firstLineChars="200"/>
        <w:rPr>
          <w:rFonts w:hint="eastAsia"/>
          <w:sz w:val="24"/>
          <w:lang w:eastAsia="zh-CN"/>
        </w:rPr>
      </w:pPr>
      <w:r>
        <w:rPr>
          <w:rFonts w:hint="eastAsia"/>
          <w:color w:val="0000FF"/>
          <w:sz w:val="24"/>
          <w:lang w:val="en-US" w:eastAsia="zh-CN"/>
        </w:rPr>
        <w:t>（8）在中华人民共和国关境内提供的进口货物及其有关服务的报价应包括要向中华人民共和国政府缴纳的进口环节税、增值税及其他税金。报价币种为人民币。</w:t>
      </w:r>
    </w:p>
    <w:p w14:paraId="062ADB8C">
      <w:pPr>
        <w:spacing w:line="360" w:lineRule="auto"/>
        <w:ind w:firstLine="480" w:firstLineChars="200"/>
        <w:rPr>
          <w:rFonts w:hint="eastAsia"/>
          <w:color w:val="0000FF"/>
          <w:sz w:val="24"/>
          <w:lang w:eastAsia="zh-CN"/>
        </w:rPr>
      </w:pPr>
      <w:r>
        <w:rPr>
          <w:rFonts w:hint="eastAsia"/>
          <w:color w:val="0000FF"/>
          <w:sz w:val="24"/>
          <w:lang w:val="en-US" w:eastAsia="zh-CN"/>
        </w:rPr>
        <w:t>（9）从中华人民共和国关境外提供货物及服务的报价：包括海关杂费及货物从进口口岸运至最终目的地的内陆运输费、保险费等；</w:t>
      </w:r>
    </w:p>
    <w:p w14:paraId="09198D82">
      <w:pPr>
        <w:spacing w:line="360" w:lineRule="auto"/>
        <w:ind w:firstLine="480" w:firstLineChars="200"/>
        <w:rPr>
          <w:rFonts w:hint="eastAsia" w:ascii="黑体" w:hAnsi="黑体" w:eastAsia="黑体" w:cs="黑体"/>
          <w:b/>
          <w:bCs/>
          <w:sz w:val="24"/>
          <w:lang w:eastAsia="zh-CN"/>
        </w:rPr>
      </w:pPr>
      <w:r>
        <w:rPr>
          <w:rFonts w:hint="eastAsia"/>
          <w:color w:val="0000FF"/>
          <w:sz w:val="24"/>
          <w:lang w:val="en-US" w:eastAsia="zh-CN"/>
        </w:rPr>
        <w:t>（10）临时特别条款：投标人所提供的货物如果原产于美国，投标报价中还必须包括加征的关税。加征关税的商品清单及税率以国务院税则委员会发布的最新有效公告为准。投标报价应当包含加征关税而未包含，是投标人的风险，视为已考虑在投标报价中。</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38</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38</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color w:val="auto"/>
                <w:szCs w:val="21"/>
                <w:highlight w:val="none"/>
                <w:lang w:val="en-US" w:eastAsia="zh-CN"/>
              </w:rPr>
            </w:pPr>
            <w:r>
              <w:rPr>
                <w:rFonts w:hint="eastAsia"/>
                <w:color w:val="auto"/>
                <w:szCs w:val="21"/>
                <w:highlight w:val="none"/>
              </w:rPr>
              <w:t>投标人应具有</w:t>
            </w:r>
            <w:r>
              <w:rPr>
                <w:rFonts w:hint="eastAsia"/>
                <w:color w:val="auto"/>
                <w:szCs w:val="21"/>
                <w:highlight w:val="none"/>
                <w:lang w:val="en-US" w:eastAsia="zh-CN"/>
              </w:rPr>
              <w:t>相应</w:t>
            </w:r>
            <w:r>
              <w:rPr>
                <w:rFonts w:hint="eastAsia" w:ascii="黑体" w:hAnsi="黑体" w:eastAsia="黑体" w:cs="黑体"/>
                <w:b/>
                <w:bCs/>
                <w:color w:val="auto"/>
                <w:szCs w:val="21"/>
                <w:highlight w:val="none"/>
                <w:lang w:val="en-US" w:eastAsia="zh-CN"/>
              </w:rPr>
              <w:t>资质证书</w:t>
            </w:r>
            <w:r>
              <w:rPr>
                <w:rFonts w:hint="eastAsia"/>
                <w:color w:val="auto"/>
                <w:szCs w:val="21"/>
                <w:highlight w:val="none"/>
              </w:rPr>
              <w:t>。提供</w:t>
            </w:r>
            <w:r>
              <w:rPr>
                <w:rFonts w:hint="eastAsia"/>
                <w:color w:val="auto"/>
                <w:szCs w:val="21"/>
                <w:highlight w:val="none"/>
                <w:lang w:val="en-US" w:eastAsia="zh-CN"/>
              </w:rPr>
              <w:t>一项</w:t>
            </w:r>
            <w:r>
              <w:rPr>
                <w:rFonts w:hint="eastAsia"/>
                <w:color w:val="auto"/>
                <w:szCs w:val="21"/>
                <w:highlight w:val="none"/>
              </w:rPr>
              <w:t>得1分，未提供不得分。 需提供有关证书复印件并加盖公章。</w:t>
            </w:r>
            <w:r>
              <w:rPr>
                <w:rFonts w:hint="eastAsia"/>
                <w:color w:val="auto"/>
                <w:szCs w:val="21"/>
                <w:highlight w:val="none"/>
                <w:lang w:val="en-US" w:eastAsia="zh-CN"/>
              </w:rPr>
              <w:t>最多得5分。</w:t>
            </w:r>
          </w:p>
          <w:p w14:paraId="5CFF9242">
            <w:pPr>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color w:val="auto"/>
                <w:szCs w:val="21"/>
                <w:highlight w:val="none"/>
                <w:lang w:eastAsia="zh-CN"/>
              </w:rPr>
            </w:pPr>
            <w:r>
              <w:rPr>
                <w:rFonts w:hint="eastAsia"/>
                <w:b/>
                <w:bCs/>
                <w:color w:val="auto"/>
                <w:szCs w:val="21"/>
                <w:highlight w:val="none"/>
              </w:rPr>
              <w:t>投标人施工团队成员</w:t>
            </w:r>
            <w:r>
              <w:rPr>
                <w:rFonts w:hint="eastAsia"/>
                <w:b/>
                <w:bCs/>
                <w:color w:val="auto"/>
                <w:szCs w:val="21"/>
                <w:highlight w:val="none"/>
                <w:lang w:val="en-US" w:eastAsia="zh-CN"/>
              </w:rPr>
              <w:t>具有相应证书的</w:t>
            </w:r>
            <w:r>
              <w:rPr>
                <w:rFonts w:hint="eastAsia"/>
                <w:color w:val="auto"/>
                <w:szCs w:val="21"/>
                <w:highlight w:val="none"/>
                <w:lang w:val="en-US" w:eastAsia="zh-CN"/>
              </w:rPr>
              <w:t>，</w:t>
            </w:r>
            <w:r>
              <w:rPr>
                <w:rFonts w:hint="eastAsia"/>
                <w:color w:val="auto"/>
                <w:szCs w:val="21"/>
                <w:highlight w:val="none"/>
              </w:rPr>
              <w:t>每份得1分，最高得</w:t>
            </w:r>
            <w:r>
              <w:rPr>
                <w:rFonts w:hint="eastAsia"/>
                <w:color w:val="auto"/>
                <w:szCs w:val="21"/>
                <w:highlight w:val="none"/>
                <w:lang w:val="en-US" w:eastAsia="zh-CN"/>
              </w:rPr>
              <w:t>3</w:t>
            </w:r>
            <w:r>
              <w:rPr>
                <w:rFonts w:hint="eastAsia"/>
                <w:color w:val="auto"/>
                <w:szCs w:val="21"/>
                <w:highlight w:val="none"/>
              </w:rPr>
              <w:t>分，不提供不得分</w:t>
            </w:r>
            <w:r>
              <w:rPr>
                <w:rFonts w:hint="eastAsia"/>
                <w:color w:val="auto"/>
                <w:szCs w:val="21"/>
                <w:highlight w:val="none"/>
                <w:lang w:eastAsia="zh-CN"/>
              </w:rPr>
              <w:t>。</w:t>
            </w:r>
          </w:p>
          <w:p w14:paraId="74CC0BB4">
            <w:pPr>
              <w:spacing w:line="240" w:lineRule="auto"/>
              <w:rPr>
                <w:rFonts w:hint="eastAsia"/>
                <w:color w:val="auto"/>
                <w:szCs w:val="21"/>
                <w:highlight w:val="none"/>
              </w:rPr>
            </w:pPr>
            <w:r>
              <w:rPr>
                <w:rFonts w:hint="eastAsia"/>
                <w:color w:val="auto"/>
                <w:szCs w:val="21"/>
                <w:highlight w:val="none"/>
              </w:rPr>
              <w:t>提供有效证书，未提供不得分，证书须在有效期之内；</w:t>
            </w:r>
          </w:p>
          <w:p w14:paraId="34DE3174">
            <w:pPr>
              <w:spacing w:line="240" w:lineRule="auto"/>
              <w:rPr>
                <w:rFonts w:hint="eastAsia"/>
                <w:color w:val="auto"/>
                <w:szCs w:val="21"/>
                <w:highlight w:val="none"/>
              </w:rPr>
            </w:pPr>
            <w:r>
              <w:rPr>
                <w:rFonts w:hint="eastAsia"/>
                <w:b/>
                <w:bCs/>
                <w:color w:val="auto"/>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 w:val="21"/>
                <w:szCs w:val="21"/>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auto"/>
                <w:kern w:val="2"/>
                <w:sz w:val="21"/>
                <w:szCs w:val="21"/>
                <w:lang w:val="en-US" w:eastAsia="zh-CN" w:bidi="ar-SA"/>
              </w:rPr>
            </w:pPr>
            <w:r>
              <w:rPr>
                <w:rFonts w:hint="eastAsia"/>
                <w:color w:val="auto"/>
                <w:szCs w:val="21"/>
                <w:lang w:val="zh-TW" w:eastAsia="zh-TW"/>
              </w:rPr>
              <w:t>根据</w:t>
            </w:r>
            <w:r>
              <w:rPr>
                <w:rFonts w:hint="eastAsia"/>
                <w:b/>
                <w:bCs/>
                <w:color w:val="auto"/>
                <w:szCs w:val="21"/>
                <w:lang w:val="zh-TW" w:eastAsia="zh-TW"/>
              </w:rPr>
              <w:t>投标人</w:t>
            </w:r>
            <w:r>
              <w:rPr>
                <w:rFonts w:hint="eastAsia"/>
                <w:b/>
                <w:bCs/>
                <w:color w:val="auto"/>
                <w:szCs w:val="21"/>
                <w:lang w:val="en-US" w:eastAsia="zh-CN"/>
              </w:rPr>
              <w:t>或代理品牌设备生产商</w:t>
            </w:r>
            <w:r>
              <w:rPr>
                <w:rFonts w:hint="eastAsia"/>
                <w:color w:val="auto"/>
                <w:szCs w:val="21"/>
              </w:rPr>
              <w:t>202</w:t>
            </w:r>
            <w:r>
              <w:rPr>
                <w:rFonts w:hint="eastAsia"/>
                <w:color w:val="auto"/>
                <w:szCs w:val="21"/>
                <w:lang w:val="en-US" w:eastAsia="zh-CN"/>
              </w:rPr>
              <w:t>1</w:t>
            </w:r>
            <w:r>
              <w:rPr>
                <w:rFonts w:hint="eastAsia"/>
                <w:color w:val="auto"/>
                <w:szCs w:val="21"/>
                <w:lang w:val="zh-TW" w:eastAsia="zh-TW"/>
              </w:rPr>
              <w:t>年</w:t>
            </w:r>
            <w:r>
              <w:rPr>
                <w:rFonts w:hint="eastAsia"/>
                <w:color w:val="auto"/>
                <w:szCs w:val="21"/>
                <w:lang w:val="en-US" w:eastAsia="zh-CN"/>
              </w:rPr>
              <w:t>9</w:t>
            </w:r>
            <w:r>
              <w:rPr>
                <w:rFonts w:hint="eastAsia"/>
                <w:color w:val="auto"/>
                <w:szCs w:val="21"/>
                <w:lang w:val="zh-TW" w:eastAsia="zh-TW"/>
              </w:rPr>
              <w:t>月</w:t>
            </w:r>
            <w:r>
              <w:rPr>
                <w:rFonts w:hint="eastAsia"/>
                <w:color w:val="auto"/>
                <w:szCs w:val="21"/>
                <w:lang w:val="zh-TW"/>
              </w:rPr>
              <w:t>1日</w:t>
            </w:r>
            <w:r>
              <w:rPr>
                <w:rFonts w:hint="eastAsia"/>
                <w:color w:val="auto"/>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color w:val="auto"/>
                <w:szCs w:val="21"/>
                <w:lang w:val="zh-TW" w:eastAsia="zh-TW"/>
              </w:rPr>
              <w:t>每份</w:t>
            </w:r>
            <w:r>
              <w:rPr>
                <w:rFonts w:hint="eastAsia" w:ascii="黑体" w:hAnsi="黑体" w:eastAsia="黑体" w:cs="黑体"/>
                <w:b/>
                <w:bCs/>
                <w:color w:val="auto"/>
                <w:szCs w:val="21"/>
                <w:lang w:val="en-US" w:eastAsia="zh-CN"/>
              </w:rPr>
              <w:t>2</w:t>
            </w:r>
            <w:r>
              <w:rPr>
                <w:rFonts w:hint="eastAsia" w:ascii="黑体" w:hAnsi="黑体" w:eastAsia="黑体" w:cs="黑体"/>
                <w:b/>
                <w:bCs/>
                <w:color w:val="auto"/>
                <w:szCs w:val="21"/>
                <w:lang w:val="zh-TW" w:eastAsia="zh-TW"/>
              </w:rPr>
              <w:t>分</w:t>
            </w:r>
            <w:r>
              <w:rPr>
                <w:rFonts w:hint="eastAsia"/>
                <w:color w:val="auto"/>
                <w:szCs w:val="21"/>
                <w:lang w:val="zh-TW" w:eastAsia="zh-TW"/>
              </w:rPr>
              <w:t>；同一买方的多份合同仅算一份业绩，得</w:t>
            </w:r>
            <w:r>
              <w:rPr>
                <w:rFonts w:hint="eastAsia"/>
                <w:color w:val="auto"/>
                <w:szCs w:val="21"/>
                <w:lang w:val="en-US" w:eastAsia="zh-CN"/>
              </w:rPr>
              <w:t>2</w:t>
            </w:r>
            <w:r>
              <w:rPr>
                <w:rFonts w:hint="eastAsia"/>
                <w:color w:val="auto"/>
                <w:szCs w:val="21"/>
                <w:lang w:val="zh-TW" w:eastAsia="zh-TW"/>
              </w:rPr>
              <w:t>分；</w:t>
            </w:r>
            <w:r>
              <w:rPr>
                <w:rFonts w:hint="eastAsia" w:ascii="黑体" w:hAnsi="黑体" w:eastAsia="黑体" w:cs="黑体"/>
                <w:b/>
                <w:bCs/>
                <w:color w:val="auto"/>
                <w:szCs w:val="21"/>
                <w:lang w:val="zh-TW" w:eastAsia="zh-TW"/>
              </w:rPr>
              <w:t>最多得</w:t>
            </w:r>
            <w:r>
              <w:rPr>
                <w:rFonts w:hint="eastAsia" w:ascii="黑体" w:hAnsi="黑体" w:eastAsia="黑体" w:cs="黑体"/>
                <w:b/>
                <w:bCs/>
                <w:color w:val="auto"/>
                <w:szCs w:val="21"/>
                <w:lang w:val="en-US" w:eastAsia="zh-CN"/>
              </w:rPr>
              <w:t>6</w:t>
            </w:r>
            <w:r>
              <w:rPr>
                <w:rFonts w:hint="eastAsia" w:ascii="黑体" w:hAnsi="黑体" w:eastAsia="黑体" w:cs="黑体"/>
                <w:b/>
                <w:bCs/>
                <w:color w:val="auto"/>
                <w:szCs w:val="21"/>
                <w:lang w:val="zh-TW" w:eastAsia="zh-TW"/>
              </w:rPr>
              <w:t>分</w:t>
            </w:r>
            <w:r>
              <w:rPr>
                <w:rFonts w:hint="eastAsia"/>
                <w:color w:val="auto"/>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color w:val="auto"/>
                <w:sz w:val="21"/>
                <w:szCs w:val="21"/>
              </w:rPr>
            </w:pPr>
            <w:r>
              <w:rPr>
                <w:rFonts w:hint="eastAsia"/>
                <w:color w:val="auto"/>
                <w:szCs w:val="21"/>
              </w:rPr>
              <w:t>根据投标人在质保期内可</w:t>
            </w:r>
            <w:r>
              <w:rPr>
                <w:rFonts w:hint="eastAsia"/>
                <w:color w:val="auto"/>
                <w:szCs w:val="21"/>
                <w:lang w:eastAsia="zh-CN"/>
              </w:rPr>
              <w:t>赠送</w:t>
            </w:r>
            <w:r>
              <w:rPr>
                <w:rFonts w:hint="eastAsia"/>
                <w:color w:val="auto"/>
                <w:szCs w:val="21"/>
                <w:lang w:val="en-US" w:eastAsia="zh-CN"/>
              </w:rPr>
              <w:t>的产品</w:t>
            </w:r>
            <w:r>
              <w:rPr>
                <w:rFonts w:hint="eastAsia"/>
                <w:color w:val="auto"/>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auto"/>
                <w:sz w:val="21"/>
                <w:szCs w:val="21"/>
                <w:highlight w:val="none"/>
                <w:lang w:val="en-US" w:eastAsia="zh-CN"/>
              </w:rPr>
            </w:pPr>
            <w:r>
              <w:rPr>
                <w:rFonts w:hint="eastAsia"/>
                <w:color w:val="auto"/>
                <w:szCs w:val="21"/>
                <w:highlight w:val="none"/>
                <w:lang w:val="zh-TW" w:eastAsia="zh-TW"/>
              </w:rPr>
              <w:t>满足招标文件要求得</w:t>
            </w:r>
            <w:r>
              <w:rPr>
                <w:rFonts w:hint="eastAsia"/>
                <w:color w:val="auto"/>
                <w:szCs w:val="21"/>
                <w:highlight w:val="none"/>
                <w:lang w:val="en-US" w:eastAsia="zh-CN"/>
              </w:rPr>
              <w:t>2</w:t>
            </w:r>
            <w:r>
              <w:rPr>
                <w:rFonts w:hint="eastAsia"/>
                <w:color w:val="auto"/>
                <w:szCs w:val="21"/>
                <w:highlight w:val="none"/>
                <w:lang w:val="zh-TW" w:eastAsia="zh-TW"/>
              </w:rPr>
              <w:t>分；每延长一年加</w:t>
            </w:r>
            <w:r>
              <w:rPr>
                <w:rFonts w:hint="eastAsia"/>
                <w:color w:val="auto"/>
                <w:szCs w:val="21"/>
                <w:highlight w:val="none"/>
                <w:lang w:val="zh-CN"/>
              </w:rPr>
              <w:t>1</w:t>
            </w:r>
            <w:r>
              <w:rPr>
                <w:rFonts w:hint="eastAsia"/>
                <w:color w:val="auto"/>
                <w:szCs w:val="21"/>
                <w:highlight w:val="none"/>
                <w:lang w:val="zh-TW" w:eastAsia="zh-TW"/>
              </w:rPr>
              <w:t>分，最多加</w:t>
            </w:r>
            <w:r>
              <w:rPr>
                <w:rFonts w:hint="eastAsia"/>
                <w:color w:val="auto"/>
                <w:szCs w:val="21"/>
                <w:highlight w:val="none"/>
                <w:lang w:val="zh-CN"/>
              </w:rPr>
              <w:t>2</w:t>
            </w:r>
            <w:r>
              <w:rPr>
                <w:rFonts w:hint="eastAsia"/>
                <w:color w:val="auto"/>
                <w:szCs w:val="21"/>
                <w:highlight w:val="none"/>
                <w:lang w:val="zh-TW" w:eastAsia="zh-TW"/>
              </w:rPr>
              <w:t>分。</w:t>
            </w:r>
            <w:r>
              <w:rPr>
                <w:rFonts w:hint="eastAsia" w:ascii="黑体" w:hAnsi="黑体" w:eastAsia="黑体" w:cs="黑体"/>
                <w:b/>
                <w:bCs/>
                <w:color w:val="auto"/>
                <w:szCs w:val="21"/>
                <w:highlight w:val="none"/>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黑体" w:hAnsi="黑体" w:eastAsia="黑体" w:cs="黑体"/>
                <w:b/>
                <w:bCs/>
                <w:color w:val="auto"/>
                <w:szCs w:val="21"/>
                <w:highlight w:val="none"/>
                <w:lang w:val="en-US" w:eastAsia="zh-CN"/>
              </w:rPr>
            </w:pPr>
            <w:r>
              <w:rPr>
                <w:rFonts w:hint="eastAsia"/>
                <w:color w:val="auto"/>
                <w:szCs w:val="21"/>
                <w:highlight w:val="none"/>
                <w:lang w:val="zh-TW" w:eastAsia="zh-TW"/>
              </w:rPr>
              <w:t>投标人需结合项目的实际特点来制定本项目的售后服务方案，评委根据各投标人提供的售后服务方案（包括售后服务承诺、售后服务内容、售后服务体系、服务流程、设备故障问题解决方案、故障处理时限、现场服务响应时间、退换货时间、技术支持人员安排合理度、免费服务年限、各类故障应急措施以及符合本项目的其他售后承诺等）进行综合评审</w:t>
            </w:r>
            <w:r>
              <w:rPr>
                <w:rFonts w:hint="eastAsia"/>
                <w:color w:val="auto"/>
                <w:szCs w:val="21"/>
                <w:highlight w:val="none"/>
                <w:lang w:val="zh-TW" w:eastAsia="zh-CN"/>
              </w:rPr>
              <w:t>。</w:t>
            </w:r>
            <w:r>
              <w:rPr>
                <w:rFonts w:hint="eastAsia" w:ascii="黑体" w:hAnsi="黑体" w:eastAsia="黑体" w:cs="黑体"/>
                <w:b/>
                <w:bCs/>
                <w:color w:val="auto"/>
                <w:szCs w:val="21"/>
                <w:highlight w:val="none"/>
                <w:lang w:val="en-US" w:eastAsia="zh-CN"/>
              </w:rPr>
              <w:t>有原厂针对本项目的授权书的，加2分。</w:t>
            </w:r>
          </w:p>
          <w:p w14:paraId="3E8C9B26">
            <w:pPr>
              <w:spacing w:line="240" w:lineRule="auto"/>
              <w:rPr>
                <w:rFonts w:hint="eastAsia" w:ascii="黑体" w:hAnsi="黑体" w:eastAsia="黑体" w:cs="黑体"/>
                <w:b/>
                <w:bCs/>
                <w:color w:val="auto"/>
                <w:szCs w:val="21"/>
                <w:highlight w:val="none"/>
                <w:lang w:val="en-US" w:eastAsia="zh-CN"/>
              </w:rPr>
            </w:pPr>
            <w:r>
              <w:rPr>
                <w:rFonts w:hint="eastAsia"/>
                <w:color w:val="auto"/>
                <w:szCs w:val="21"/>
                <w:highlight w:val="none"/>
                <w:lang w:val="en-US" w:eastAsia="zh-CN"/>
              </w:rPr>
              <w:t>投标人需</w:t>
            </w:r>
            <w:r>
              <w:rPr>
                <w:rFonts w:hint="eastAsia"/>
                <w:color w:val="auto"/>
                <w:szCs w:val="21"/>
                <w:highlight w:val="none"/>
              </w:rPr>
              <w:t>提供完整的项目培训方案，根据各投标人所提供的培训方案（培训包括不限于：培训服务计划、培训大纲、培训人数、培训教材等）</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auto"/>
                <w:kern w:val="2"/>
                <w:sz w:val="21"/>
                <w:szCs w:val="21"/>
                <w:lang w:val="zh-TW" w:eastAsia="zh-TW" w:bidi="ar-SA"/>
              </w:rPr>
            </w:pPr>
            <w:r>
              <w:rPr>
                <w:rFonts w:hint="eastAsia"/>
                <w:color w:val="auto"/>
              </w:rPr>
              <w:t>标书规范且有关键指标索引的，得</w:t>
            </w:r>
            <w:r>
              <w:rPr>
                <w:color w:val="auto"/>
              </w:rPr>
              <w:t>1</w:t>
            </w:r>
            <w:r>
              <w:rPr>
                <w:rFonts w:hint="eastAsia"/>
                <w:color w:val="auto"/>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color w:val="0000FF"/>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r>
        <w:rPr>
          <w:rFonts w:hint="eastAsia" w:ascii="宋体" w:hAnsi="宋体" w:cs="宋体"/>
          <w:color w:val="0000FF"/>
          <w:kern w:val="0"/>
          <w:sz w:val="24"/>
          <w:lang w:val="en-US" w:eastAsia="zh-CN"/>
        </w:rPr>
        <w:t>（各投标单位需根据招标参数提供所投设备的详细参数）</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eastAsia="宋体"/>
          <w:b/>
          <w:bCs/>
          <w:color w:val="0000FF"/>
          <w:sz w:val="24"/>
          <w:lang w:eastAsia="zh-CN"/>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r>
        <w:rPr>
          <w:rFonts w:ascii="宋体" w:hAnsi="宋体" w:eastAsia="宋体" w:cs="宋体"/>
          <w:sz w:val="24"/>
          <w:szCs w:val="24"/>
        </w:rPr>
        <w:t>。</w:t>
      </w:r>
      <w:r>
        <w:rPr>
          <w:rFonts w:ascii="宋体" w:hAnsi="宋体" w:eastAsia="宋体" w:cs="宋体"/>
          <w:b/>
          <w:bCs/>
          <w:color w:val="0000FF"/>
          <w:sz w:val="24"/>
          <w:szCs w:val="24"/>
        </w:rPr>
        <w:t>显微镜全套软件终生免费升级维护</w:t>
      </w:r>
      <w:r>
        <w:rPr>
          <w:rFonts w:hint="eastAsia"/>
          <w:b/>
          <w:bCs/>
          <w:color w:val="0000FF"/>
          <w:sz w:val="24"/>
        </w:rPr>
        <w:t>。</w:t>
      </w:r>
      <w:r>
        <w:rPr>
          <w:rFonts w:ascii="宋体" w:hAnsi="宋体" w:eastAsia="宋体" w:cs="宋体"/>
          <w:b/>
          <w:bCs/>
          <w:color w:val="0000FF"/>
          <w:sz w:val="24"/>
          <w:szCs w:val="24"/>
        </w:rPr>
        <w:t>须按照招标参数内容及需求，交付全功 能软件系统，签订软件终生服务协议，终生对全套显微互动软件系统进行免费升级和维护</w:t>
      </w:r>
      <w:r>
        <w:rPr>
          <w:rFonts w:hint="eastAsia" w:ascii="宋体" w:hAnsi="宋体" w:eastAsia="宋体" w:cs="宋体"/>
          <w:b/>
          <w:bCs/>
          <w:color w:val="0000FF"/>
          <w:sz w:val="24"/>
          <w:szCs w:val="24"/>
          <w:lang w:eastAsia="zh-CN"/>
        </w:rPr>
        <w:t>。</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3926C960">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合同签订后30天内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设备安装调试结束后，运行一个月后进行验收，验收合格一个月后一周内</w:t>
      </w:r>
      <w:r>
        <w:rPr>
          <w:rFonts w:hint="eastAsia" w:ascii="黑体" w:eastAsia="黑体"/>
          <w:b/>
          <w:color w:val="auto"/>
          <w:sz w:val="24"/>
          <w:highlight w:val="none"/>
          <w:lang w:val="en-US" w:eastAsia="zh-CN"/>
        </w:rPr>
        <w:t>付至合同的90%</w:t>
      </w:r>
      <w:r>
        <w:rPr>
          <w:rFonts w:hint="eastAsia" w:ascii="宋体" w:hAnsi="宋体" w:eastAsia="宋体" w:cs="宋体"/>
          <w:b w:val="0"/>
          <w:bCs w:val="0"/>
          <w:color w:val="auto"/>
          <w:sz w:val="24"/>
          <w:szCs w:val="24"/>
          <w:highlight w:val="none"/>
          <w:lang w:val="en-US" w:eastAsia="zh-CN"/>
        </w:rPr>
        <w:t>，剩余尾款作为质保金，待验收合格</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年后无重大质量问题后付清</w:t>
      </w:r>
      <w:r>
        <w:rPr>
          <w:rFonts w:hint="eastAsia" w:ascii="宋体" w:hAnsi="宋体" w:eastAsia="宋体" w:cs="宋体"/>
          <w:b w:val="0"/>
          <w:bCs w:val="0"/>
          <w:color w:val="auto"/>
          <w:sz w:val="24"/>
          <w:szCs w:val="24"/>
          <w:highlight w:val="none"/>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80938"/>
      <w:bookmarkStart w:id="7" w:name="_Toc231276966"/>
      <w:bookmarkStart w:id="8" w:name="_Toc231279666"/>
      <w:bookmarkStart w:id="9" w:name="_Toc231305090"/>
      <w:bookmarkStart w:id="10" w:name="_Toc231289905"/>
      <w:bookmarkStart w:id="11" w:name="_Toc231279247"/>
      <w:bookmarkStart w:id="12" w:name="_Toc231289932"/>
      <w:bookmarkStart w:id="13" w:name="_Toc231280344"/>
      <w:bookmarkStart w:id="14" w:name="_Toc231304988"/>
      <w:bookmarkStart w:id="15" w:name="_Toc231289771"/>
      <w:bookmarkStart w:id="16" w:name="_Toc231279586"/>
      <w:bookmarkStart w:id="17" w:name="_Toc231286901"/>
      <w:bookmarkStart w:id="18" w:name="_Toc231281339"/>
      <w:bookmarkStart w:id="19" w:name="_Toc231284489"/>
      <w:bookmarkStart w:id="20" w:name="_Toc231280804"/>
      <w:bookmarkStart w:id="21" w:name="_Toc231279156"/>
      <w:bookmarkStart w:id="22" w:name="_Toc231279737"/>
      <w:bookmarkStart w:id="23" w:name="_Toc231282228"/>
      <w:bookmarkStart w:id="24" w:name="_Toc231281705"/>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06BF58A1">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0593"/>
      <w:bookmarkStart w:id="26" w:name="_Toc34991462"/>
      <w:bookmarkStart w:id="27" w:name="_Toc231280941"/>
      <w:bookmarkStart w:id="28" w:name="_Toc407266082"/>
      <w:bookmarkStart w:id="29" w:name="_Toc231305093"/>
      <w:bookmarkStart w:id="30" w:name="_Toc231286904"/>
      <w:bookmarkStart w:id="31" w:name="_Toc231289935"/>
      <w:bookmarkStart w:id="32" w:name="_Toc231304991"/>
      <w:bookmarkStart w:id="33" w:name="_Toc231279740"/>
      <w:bookmarkStart w:id="34" w:name="_Toc231282231"/>
      <w:bookmarkStart w:id="35" w:name="_Toc231279669"/>
      <w:bookmarkStart w:id="36" w:name="_Toc231284492"/>
      <w:bookmarkStart w:id="37" w:name="_Toc231289908"/>
      <w:bookmarkStart w:id="38" w:name="_Toc231279589"/>
      <w:bookmarkStart w:id="39" w:name="_Toc231289774"/>
      <w:bookmarkStart w:id="40" w:name="_Toc231281342"/>
      <w:bookmarkStart w:id="41" w:name="_Toc231280347"/>
      <w:bookmarkStart w:id="42" w:name="_Toc231281708"/>
      <w:bookmarkStart w:id="43" w:name="_Toc231280807"/>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426A495D">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bookmarkStart w:id="58" w:name="_GoBack"/>
      <w:r>
        <w:rPr>
          <w:rFonts w:ascii="宋体" w:hAnsi="宋体" w:eastAsia="宋体" w:cs="宋体"/>
          <w:sz w:val="28"/>
          <w:szCs w:val="28"/>
        </w:rPr>
        <w:t>报并</w:t>
      </w:r>
      <w:bookmarkEnd w:id="58"/>
      <w:r>
        <w:rPr>
          <w:rFonts w:ascii="宋体" w:hAnsi="宋体" w:eastAsia="宋体" w:cs="宋体"/>
          <w:sz w:val="28"/>
          <w:szCs w:val="28"/>
        </w:rPr>
        <w:t>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2CA179F"/>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75423C"/>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7B13BC"/>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46264F"/>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7F7B7B"/>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691A16"/>
    <w:rsid w:val="69D525EC"/>
    <w:rsid w:val="6BB54819"/>
    <w:rsid w:val="6BC1223C"/>
    <w:rsid w:val="6BE33FA7"/>
    <w:rsid w:val="6BF55A4E"/>
    <w:rsid w:val="6C465F5C"/>
    <w:rsid w:val="6C6178D9"/>
    <w:rsid w:val="6C64170E"/>
    <w:rsid w:val="6D95791B"/>
    <w:rsid w:val="6EBE6C8A"/>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5D66FD"/>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8DA40A0"/>
    <w:rsid w:val="7942731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1274</Words>
  <Characters>1461</Characters>
  <Lines>134</Lines>
  <Paragraphs>37</Paragraphs>
  <TotalTime>11</TotalTime>
  <ScaleCrop>false</ScaleCrop>
  <LinksUpToDate>false</LinksUpToDate>
  <CharactersWithSpaces>1480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2025-01-03T02:44:13Z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429905E575FD4949BAF1C248934C212A_13</vt:lpwstr>
  </property>
  <property fmtid="{D5CDD505-2E9C-101B-9397-08002B2CF9AE}" pid="4" name="KSOTemplateDocerSaveRecord">
    <vt:lpwstr>eyJoZGlkIjoiNTEwMDk3MjVkYjQ0YmQ1MzU0MTFkZTQ5NzdjNjMwM2UiLCJ1c2VySWQiOiIzMjI4NzUwMDIifQ==</vt:lpwstr>
  </property>
</Properties>
</file>