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5"/>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eastAsia="宋体"/>
          <w:b/>
          <w:bCs/>
          <w:sz w:val="32"/>
          <w:szCs w:val="32"/>
          <w:lang w:val="en-US" w:eastAsia="zh-CN"/>
        </w:rPr>
      </w:pPr>
      <w:r>
        <w:rPr>
          <w:rFonts w:hint="eastAsia" w:ascii="宋体" w:hAnsi="宋体" w:cs="宋体"/>
          <w:b/>
          <w:bCs/>
          <w:sz w:val="32"/>
          <w:szCs w:val="32"/>
        </w:rPr>
        <w:t xml:space="preserve">   项目名称：</w:t>
      </w:r>
      <w:r>
        <w:rPr>
          <w:rFonts w:hint="eastAsia"/>
          <w:b/>
          <w:bCs/>
          <w:sz w:val="32"/>
          <w:szCs w:val="32"/>
          <w:lang w:val="en-US" w:eastAsia="zh-CN"/>
        </w:rPr>
        <w:t>海安校区学生中心礼堂椅</w:t>
      </w:r>
      <w:r>
        <w:rPr>
          <w:rFonts w:hint="eastAsia"/>
          <w:b/>
          <w:bCs/>
          <w:sz w:val="32"/>
          <w:szCs w:val="32"/>
        </w:rPr>
        <w:t>采购</w:t>
      </w:r>
      <w:r>
        <w:rPr>
          <w:rFonts w:hint="eastAsia"/>
          <w:b/>
          <w:bCs/>
          <w:sz w:val="32"/>
          <w:szCs w:val="32"/>
          <w:lang w:val="en-US" w:eastAsia="zh-CN"/>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rPr>
      </w:pPr>
      <w:r>
        <w:rPr>
          <w:rFonts w:hint="eastAsia"/>
          <w:b/>
          <w:bCs/>
          <w:sz w:val="24"/>
        </w:rPr>
        <w:t>（项目编号：Z</w:t>
      </w:r>
      <w:r>
        <w:rPr>
          <w:rFonts w:hint="eastAsia"/>
          <w:b/>
          <w:bCs/>
          <w:sz w:val="24"/>
          <w:lang w:val="en-US" w:eastAsia="zh-CN"/>
        </w:rPr>
        <w:t>CZB2023046</w:t>
      </w:r>
      <w:r>
        <w:rPr>
          <w:rFonts w:hint="eastAsia"/>
          <w:b/>
          <w:bCs/>
          <w:sz w:val="24"/>
        </w:rPr>
        <w:t>）</w:t>
      </w:r>
    </w:p>
    <w:p>
      <w:pPr>
        <w:spacing w:line="360" w:lineRule="auto"/>
        <w:jc w:val="both"/>
        <w:rPr>
          <w:rFonts w:hint="eastAsia" w:asciiTheme="majorEastAsia" w:hAnsiTheme="majorEastAsia" w:eastAsiaTheme="majorEastAsia" w:cstheme="majorEastAsia"/>
          <w:b/>
          <w:bCs/>
          <w:sz w:val="32"/>
          <w:szCs w:val="32"/>
        </w:rPr>
      </w:pPr>
    </w:p>
    <w:p>
      <w:pPr>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招标日期：202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 xml:space="preserve"> 年</w:t>
      </w:r>
      <w:r>
        <w:rPr>
          <w:rFonts w:hint="eastAsia" w:asciiTheme="majorEastAsia" w:hAnsiTheme="majorEastAsia" w:eastAsiaTheme="majorEastAsia" w:cstheme="majorEastAsia"/>
          <w:b/>
          <w:bCs/>
          <w:sz w:val="32"/>
          <w:szCs w:val="32"/>
          <w:lang w:val="en-US" w:eastAsia="zh-CN"/>
        </w:rPr>
        <w:t>9</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20</w:t>
      </w:r>
      <w:r>
        <w:rPr>
          <w:rFonts w:hint="eastAsia" w:asciiTheme="majorEastAsia" w:hAnsiTheme="majorEastAsia" w:eastAsiaTheme="majorEastAsia" w:cstheme="majorEastAsia"/>
          <w:b/>
          <w:bCs/>
          <w:sz w:val="32"/>
          <w:szCs w:val="32"/>
        </w:rPr>
        <w:t>日</w:t>
      </w:r>
    </w:p>
    <w:p>
      <w:pPr>
        <w:spacing w:line="440" w:lineRule="exact"/>
        <w:jc w:val="center"/>
        <w:rPr>
          <w:rFonts w:ascii="宋体" w:hAnsi="宋体"/>
          <w:b/>
          <w:bCs/>
          <w:sz w:val="30"/>
          <w:szCs w:val="30"/>
        </w:rPr>
      </w:pPr>
    </w:p>
    <w:p>
      <w:pPr>
        <w:spacing w:line="760" w:lineRule="exact"/>
        <w:jc w:val="center"/>
        <w:rPr>
          <w:rFonts w:ascii="宋体" w:hAnsi="宋体" w:cs="宋体"/>
          <w:sz w:val="44"/>
          <w:szCs w:val="44"/>
        </w:rPr>
      </w:pPr>
      <w:r>
        <w:rPr>
          <w:rFonts w:ascii="宋体" w:hAnsi="宋体"/>
          <w:b/>
          <w:bCs/>
          <w:sz w:val="30"/>
          <w:szCs w:val="30"/>
        </w:rPr>
        <w:br w:type="page"/>
      </w:r>
      <w:r>
        <w:rPr>
          <w:rFonts w:hint="eastAsia" w:ascii="宋体" w:hAnsi="宋体"/>
          <w:b/>
          <w:bCs/>
          <w:sz w:val="30"/>
          <w:szCs w:val="30"/>
        </w:rPr>
        <w:t>一、招标公告</w:t>
      </w:r>
    </w:p>
    <w:p>
      <w:pPr>
        <w:spacing w:line="400" w:lineRule="exact"/>
        <w:ind w:firstLine="560" w:firstLineChars="200"/>
        <w:rPr>
          <w:rFonts w:ascii="仿宋" w:hAnsi="仿宋" w:eastAsia="仿宋" w:cs="仿宋"/>
          <w:sz w:val="28"/>
          <w:szCs w:val="28"/>
        </w:rPr>
      </w:pPr>
    </w:p>
    <w:p>
      <w:pPr>
        <w:spacing w:line="360" w:lineRule="exact"/>
        <w:ind w:left="10" w:firstLine="540" w:firstLineChars="225"/>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海安校区学生中心礼堂椅</w:t>
      </w:r>
      <w:r>
        <w:rPr>
          <w:rFonts w:hint="eastAsia" w:ascii="仿宋" w:hAnsi="仿宋" w:eastAsia="仿宋" w:cs="仿宋"/>
          <w:sz w:val="24"/>
        </w:rPr>
        <w:t>采购项目进行公开招标，欢迎具备相应资质和实力的投标单位参加投标。现将有关事项公告如下：</w:t>
      </w:r>
    </w:p>
    <w:p>
      <w:pPr>
        <w:spacing w:line="360" w:lineRule="exact"/>
        <w:rPr>
          <w:rFonts w:ascii="仿宋" w:hAnsi="仿宋" w:eastAsia="仿宋" w:cs="仿宋"/>
          <w:b/>
          <w:bCs/>
          <w:sz w:val="24"/>
        </w:rPr>
      </w:pPr>
      <w:r>
        <w:rPr>
          <w:rFonts w:hint="eastAsia" w:ascii="仿宋" w:hAnsi="仿宋" w:eastAsia="仿宋" w:cs="仿宋"/>
          <w:b/>
          <w:bCs/>
          <w:sz w:val="24"/>
        </w:rPr>
        <w:t>一、招标内容：</w:t>
      </w:r>
    </w:p>
    <w:p>
      <w:pPr>
        <w:spacing w:line="360" w:lineRule="exact"/>
        <w:ind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海安校区学生中心礼堂椅</w:t>
      </w:r>
      <w:r>
        <w:rPr>
          <w:rFonts w:hint="eastAsia" w:ascii="仿宋" w:hAnsi="仿宋" w:eastAsia="仿宋" w:cs="仿宋"/>
          <w:sz w:val="24"/>
        </w:rPr>
        <w:t>采购。</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2、招标内容：</w:t>
      </w:r>
    </w:p>
    <w:p>
      <w:pPr>
        <w:spacing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海安校区学生中心大礼堂礼堂椅：1607座（中心距550mm）；</w:t>
      </w:r>
    </w:p>
    <w:p>
      <w:pPr>
        <w:spacing w:line="360" w:lineRule="exact"/>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海安校区学生中心报告厅礼堂椅：420座（中心距570mm）。</w:t>
      </w:r>
    </w:p>
    <w:p>
      <w:pPr>
        <w:spacing w:line="36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具体数量最终按实际情况为准。</w:t>
      </w:r>
    </w:p>
    <w:p>
      <w:pPr>
        <w:spacing w:line="360" w:lineRule="exact"/>
        <w:ind w:firstLine="480" w:firstLineChars="200"/>
        <w:rPr>
          <w:rFonts w:ascii="仿宋" w:hAnsi="仿宋" w:eastAsia="仿宋" w:cs="仿宋"/>
          <w:sz w:val="24"/>
        </w:rPr>
      </w:pPr>
      <w:r>
        <w:rPr>
          <w:rFonts w:hint="eastAsia" w:ascii="仿宋" w:hAnsi="仿宋" w:eastAsia="仿宋" w:cs="仿宋"/>
          <w:sz w:val="24"/>
        </w:rPr>
        <w:t>3、项目概况：该项目位于南通理工学院</w:t>
      </w:r>
      <w:r>
        <w:rPr>
          <w:rFonts w:hint="eastAsia" w:ascii="仿宋" w:hAnsi="仿宋" w:eastAsia="仿宋" w:cs="仿宋"/>
          <w:sz w:val="24"/>
          <w:lang w:val="en-US" w:eastAsia="zh-CN"/>
        </w:rPr>
        <w:t>海安校区</w:t>
      </w:r>
      <w:r>
        <w:rPr>
          <w:rFonts w:hint="eastAsia" w:ascii="仿宋" w:hAnsi="仿宋" w:eastAsia="仿宋" w:cs="仿宋"/>
          <w:sz w:val="24"/>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4、工期要求：</w:t>
      </w:r>
    </w:p>
    <w:p>
      <w:pPr>
        <w:spacing w:line="360" w:lineRule="exact"/>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所有礼堂椅安装完成时间2023年11月15日。</w:t>
      </w:r>
    </w:p>
    <w:p>
      <w:pPr>
        <w:keepNext w:val="0"/>
        <w:keepLines w:val="0"/>
        <w:pageBreakBefore w:val="0"/>
        <w:shd w:val="clear" w:color="auto" w:fill="FFFFFF"/>
        <w:kinsoku/>
        <w:wordWrap/>
        <w:overflowPunct/>
        <w:topLinePunct w:val="0"/>
        <w:autoSpaceDE/>
        <w:autoSpaceDN/>
        <w:bidi w:val="0"/>
        <w:spacing w:line="440" w:lineRule="exact"/>
        <w:ind w:firstLine="480" w:firstLineChars="200"/>
        <w:textAlignment w:val="auto"/>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本次招标包括：</w:t>
      </w:r>
      <w:r>
        <w:rPr>
          <w:rFonts w:hint="eastAsia" w:ascii="仿宋" w:hAnsi="仿宋" w:eastAsia="仿宋" w:cs="仿宋"/>
          <w:color w:val="000000"/>
          <w:sz w:val="24"/>
          <w:szCs w:val="24"/>
          <w:shd w:val="clear" w:color="auto" w:fill="FFFFFF"/>
        </w:rPr>
        <w:t>南通理工学院</w:t>
      </w:r>
      <w:r>
        <w:rPr>
          <w:rFonts w:hint="eastAsia" w:ascii="仿宋" w:hAnsi="仿宋" w:eastAsia="仿宋" w:cs="仿宋"/>
          <w:color w:val="000000"/>
          <w:sz w:val="24"/>
          <w:szCs w:val="24"/>
          <w:shd w:val="clear" w:color="auto" w:fill="FFFFFF"/>
          <w:lang w:val="en-US" w:eastAsia="zh-CN"/>
        </w:rPr>
        <w:t>海安校区学生中心礼堂椅采购</w:t>
      </w:r>
      <w:r>
        <w:rPr>
          <w:rFonts w:hint="eastAsia" w:ascii="仿宋" w:hAnsi="仿宋" w:eastAsia="仿宋" w:cs="仿宋"/>
          <w:color w:val="000000"/>
          <w:sz w:val="24"/>
          <w:szCs w:val="24"/>
          <w:shd w:val="clear" w:color="auto" w:fill="FFFFFF"/>
          <w:lang w:eastAsia="zh-CN"/>
        </w:rPr>
        <w:t>项目</w:t>
      </w:r>
      <w:r>
        <w:rPr>
          <w:rFonts w:hint="eastAsia" w:ascii="仿宋" w:hAnsi="仿宋" w:eastAsia="仿宋" w:cs="仿宋"/>
          <w:color w:val="000000"/>
          <w:sz w:val="24"/>
          <w:szCs w:val="24"/>
          <w:shd w:val="clear" w:color="auto" w:fill="FFFFFF"/>
        </w:rPr>
        <w:t>投标人按</w:t>
      </w:r>
      <w:r>
        <w:rPr>
          <w:rFonts w:hint="eastAsia" w:ascii="仿宋" w:hAnsi="仿宋" w:eastAsia="仿宋" w:cs="仿宋"/>
          <w:color w:val="000000"/>
          <w:sz w:val="24"/>
          <w:szCs w:val="24"/>
          <w:shd w:val="clear" w:color="auto" w:fill="FFFFFF"/>
          <w:lang w:eastAsia="zh-CN"/>
        </w:rPr>
        <w:t>招标人</w:t>
      </w:r>
      <w:r>
        <w:rPr>
          <w:rFonts w:hint="eastAsia" w:ascii="仿宋" w:hAnsi="仿宋" w:eastAsia="仿宋" w:cs="仿宋"/>
          <w:color w:val="000000"/>
          <w:sz w:val="24"/>
          <w:szCs w:val="24"/>
          <w:shd w:val="clear" w:color="auto" w:fill="FFFFFF"/>
        </w:rPr>
        <w:t>要求进行报价，确保材料品质，</w:t>
      </w:r>
      <w:r>
        <w:rPr>
          <w:rFonts w:hint="eastAsia" w:ascii="仿宋" w:hAnsi="仿宋" w:eastAsia="仿宋" w:cs="仿宋"/>
          <w:color w:val="000000"/>
          <w:sz w:val="24"/>
          <w:szCs w:val="24"/>
          <w:shd w:val="clear" w:color="auto" w:fill="FFFFFF"/>
          <w:lang w:val="en-US" w:eastAsia="zh-CN"/>
        </w:rPr>
        <w:t>安装进度、</w:t>
      </w:r>
      <w:r>
        <w:rPr>
          <w:rFonts w:hint="eastAsia" w:ascii="仿宋" w:hAnsi="仿宋" w:eastAsia="仿宋" w:cs="仿宋"/>
          <w:color w:val="000000"/>
          <w:sz w:val="24"/>
          <w:szCs w:val="24"/>
          <w:shd w:val="clear" w:color="auto" w:fill="FFFFFF"/>
        </w:rPr>
        <w:t>施工质量。</w:t>
      </w:r>
      <w:r>
        <w:rPr>
          <w:rFonts w:hint="eastAsia" w:ascii="仿宋" w:hAnsi="仿宋" w:eastAsia="仿宋" w:cs="仿宋"/>
          <w:sz w:val="24"/>
        </w:rPr>
        <w:t>所有投标文件都必须在封袋骑缝处以显著标志密封。</w:t>
      </w:r>
      <w:r>
        <w:rPr>
          <w:rFonts w:hint="eastAsia" w:ascii="仿宋" w:hAnsi="仿宋" w:eastAsia="仿宋" w:cs="仿宋"/>
          <w:b/>
          <w:sz w:val="24"/>
        </w:rPr>
        <w:t>（递交投标文件时需</w:t>
      </w:r>
      <w:r>
        <w:rPr>
          <w:rFonts w:hint="eastAsia" w:ascii="仿宋" w:hAnsi="仿宋" w:eastAsia="仿宋" w:cs="仿宋"/>
          <w:b/>
          <w:sz w:val="24"/>
          <w:lang w:val="en-US" w:eastAsia="zh-CN"/>
        </w:rPr>
        <w:t>提供礼堂椅样品至少</w:t>
      </w:r>
      <w:r>
        <w:rPr>
          <w:rFonts w:hint="eastAsia" w:ascii="仿宋" w:hAnsi="仿宋" w:eastAsia="仿宋" w:cs="仿宋"/>
          <w:b/>
          <w:sz w:val="24"/>
          <w:lang w:eastAsia="zh-CN"/>
        </w:rPr>
        <w:t>一套，</w:t>
      </w:r>
      <w:r>
        <w:rPr>
          <w:rFonts w:hint="eastAsia" w:ascii="仿宋" w:hAnsi="仿宋" w:eastAsia="仿宋" w:cs="仿宋"/>
          <w:b/>
          <w:sz w:val="24"/>
          <w:lang w:val="en-US" w:eastAsia="zh-CN"/>
        </w:rPr>
        <w:t>可以提供多款样品</w:t>
      </w:r>
      <w:r>
        <w:rPr>
          <w:rFonts w:hint="eastAsia" w:ascii="仿宋" w:hAnsi="仿宋" w:eastAsia="仿宋" w:cs="仿宋"/>
          <w:b/>
          <w:sz w:val="24"/>
          <w:lang w:eastAsia="zh-CN"/>
        </w:rPr>
        <w:t>并送至招标人指定位置</w:t>
      </w:r>
      <w:r>
        <w:rPr>
          <w:rFonts w:hint="eastAsia" w:ascii="仿宋" w:hAnsi="仿宋" w:eastAsia="仿宋" w:cs="仿宋"/>
          <w:b/>
          <w:sz w:val="24"/>
        </w:rPr>
        <w:t>）</w:t>
      </w:r>
    </w:p>
    <w:p>
      <w:pPr>
        <w:spacing w:line="400" w:lineRule="exact"/>
        <w:rPr>
          <w:rFonts w:ascii="仿宋" w:hAnsi="仿宋" w:eastAsia="仿宋" w:cs="仿宋"/>
          <w:b/>
          <w:bCs/>
          <w:sz w:val="24"/>
        </w:rPr>
      </w:pPr>
      <w:r>
        <w:rPr>
          <w:rFonts w:hint="eastAsia" w:ascii="仿宋" w:hAnsi="仿宋" w:eastAsia="仿宋" w:cs="仿宋"/>
          <w:b/>
          <w:bCs/>
          <w:sz w:val="24"/>
        </w:rPr>
        <w:t>二、投标人资格要求</w:t>
      </w:r>
    </w:p>
    <w:p>
      <w:pPr>
        <w:rPr>
          <w:rFonts w:hint="eastAsia" w:ascii="仿宋" w:hAnsi="仿宋" w:eastAsia="仿宋" w:cs="仿宋"/>
          <w:sz w:val="24"/>
        </w:rPr>
      </w:pPr>
      <w:r>
        <w:rPr>
          <w:rFonts w:hint="eastAsia" w:ascii="仿宋" w:hAnsi="仿宋" w:eastAsia="仿宋" w:cs="仿宋"/>
          <w:b/>
          <w:bCs/>
          <w:sz w:val="24"/>
        </w:rPr>
        <w:t xml:space="preserve">    </w:t>
      </w:r>
      <w:r>
        <w:rPr>
          <w:rFonts w:ascii="仿宋" w:hAnsi="仿宋" w:eastAsia="仿宋" w:cs="仿宋"/>
          <w:sz w:val="24"/>
        </w:rPr>
        <w:t>投标人应具备《中华人民共和国政府采购法》第二十二条规定的条件，提供下列材料：</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1、具有独立承担民事责任的能力：在中华人民共和国境内注册的法人或其他组织或自然人。分支机构投标的，须提供总公司和分公司营业执照副本复印件，总公司出具给分支机构的授权书。</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2、有依法缴纳税收和社会保障资金的良好记录：提供投标截止日前6个月内任意1个月依法缴纳税收和社会保障资金的相关材料。 如依法免税或不需要缴纳社会保障</w:t>
      </w:r>
      <w:r>
        <w:rPr>
          <w:rFonts w:hint="eastAsia" w:ascii="仿宋" w:hAnsi="仿宋" w:eastAsia="仿宋" w:cs="仿宋"/>
          <w:sz w:val="24"/>
          <w:lang w:eastAsia="zh-CN"/>
        </w:rPr>
        <w:t>金</w:t>
      </w:r>
      <w:r>
        <w:rPr>
          <w:rFonts w:hint="eastAsia" w:ascii="仿宋" w:hAnsi="仿宋" w:eastAsia="仿宋" w:cs="仿宋"/>
          <w:sz w:val="24"/>
        </w:rPr>
        <w:t>的，提供相应证明材料。</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3、具有良好的商业信誉和健全的财务会计制度：提供202</w:t>
      </w:r>
      <w:r>
        <w:rPr>
          <w:rFonts w:hint="eastAsia" w:ascii="仿宋" w:hAnsi="仿宋" w:eastAsia="仿宋" w:cs="仿宋"/>
          <w:sz w:val="24"/>
          <w:lang w:val="en-US" w:eastAsia="zh-CN"/>
        </w:rPr>
        <w:t>1</w:t>
      </w:r>
      <w:r>
        <w:rPr>
          <w:rFonts w:hint="eastAsia" w:ascii="仿宋" w:hAnsi="仿宋" w:eastAsia="仿宋" w:cs="仿宋"/>
          <w:sz w:val="24"/>
        </w:rPr>
        <w:t>年度</w:t>
      </w:r>
      <w:r>
        <w:rPr>
          <w:rFonts w:hint="eastAsia" w:ascii="仿宋" w:hAnsi="仿宋" w:eastAsia="仿宋" w:cs="仿宋"/>
          <w:sz w:val="24"/>
          <w:lang w:val="en-US" w:eastAsia="zh-CN"/>
        </w:rPr>
        <w:t>和</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年度财务状况报告复印件，如成立不满一年的企业，提供成立至今的月或季度财务状况报告复印件，或银行出具的资信证明复印件。</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GB"/>
        </w:rPr>
        <w:t>招标货物的生产厂家或生产厂家授权的经销商，经销商或代理商需提供厂家授权；</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5、参加采购活动前3年内，在经营活动中没有重大违法记录：参照投标函相关承诺格式内容。</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6、未被列入“信用中国”网站</w:t>
      </w:r>
      <w:r>
        <w:rPr>
          <w:rFonts w:hint="eastAsia" w:ascii="仿宋" w:hAnsi="仿宋" w:eastAsia="仿宋" w:cs="仿宋"/>
          <w:sz w:val="24"/>
          <w:lang w:eastAsia="zh-CN"/>
        </w:rPr>
        <w:t>（</w:t>
      </w:r>
      <w:r>
        <w:rPr>
          <w:rFonts w:hint="eastAsia" w:ascii="仿宋" w:hAnsi="仿宋" w:eastAsia="仿宋" w:cs="仿宋"/>
          <w:sz w:val="24"/>
        </w:rPr>
        <w:t>www.creditchina.gov.cn)“记录失信被执行人或税收违法黑名单或政府采购严重违法失信行为记录名单”；不处于中国政府采购网</w:t>
      </w:r>
      <w:r>
        <w:rPr>
          <w:rFonts w:hint="eastAsia" w:ascii="仿宋" w:hAnsi="仿宋" w:eastAsia="仿宋" w:cs="仿宋"/>
          <w:sz w:val="24"/>
          <w:lang w:eastAsia="zh-CN"/>
        </w:rPr>
        <w:t>（</w:t>
      </w:r>
      <w:r>
        <w:rPr>
          <w:rFonts w:hint="eastAsia" w:ascii="仿宋" w:hAnsi="仿宋" w:eastAsia="仿宋" w:cs="仿宋"/>
          <w:sz w:val="24"/>
        </w:rPr>
        <w:t>www.ccgp.gov.cn)“政府采购严重违法失信行为信息记录”中的禁止参加政府采购活动期间。</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7、单位负责人为同一人或者存在直接控股、管理关系的不同供应商，不得同时参加本采购项目（或采购包） 投标（响应）。</w:t>
      </w:r>
    </w:p>
    <w:p>
      <w:pPr>
        <w:spacing w:line="360" w:lineRule="exact"/>
        <w:ind w:left="10" w:firstLine="540" w:firstLineChars="225"/>
        <w:rPr>
          <w:rFonts w:hint="eastAsia" w:ascii="仿宋" w:hAnsi="仿宋" w:eastAsia="仿宋" w:cs="仿宋"/>
          <w:sz w:val="24"/>
        </w:rPr>
      </w:pPr>
      <w:r>
        <w:rPr>
          <w:rFonts w:hint="eastAsia" w:ascii="仿宋" w:hAnsi="仿宋" w:eastAsia="仿宋" w:cs="仿宋"/>
          <w:sz w:val="24"/>
        </w:rPr>
        <w:t>8、代表人证书或授权委托书（需原件）。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158" w:lineRule="atLeast"/>
        <w:ind w:left="30" w:right="30" w:firstLine="547" w:firstLineChars="228"/>
        <w:jc w:val="both"/>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0000FF"/>
          <w:kern w:val="2"/>
          <w:sz w:val="24"/>
          <w:szCs w:val="24"/>
          <w:lang w:val="en-US" w:eastAsia="zh-CN" w:bidi="ar-SA"/>
        </w:rPr>
        <w:t>本次招标不接受个体户投标、联合体投标，中标后不允许分包、转包。</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0"/>
        <w:widowControl/>
        <w:spacing w:beforeAutospacing="0" w:afterAutospacing="0" w:line="360" w:lineRule="exact"/>
        <w:rPr>
          <w:rFonts w:ascii="仿宋" w:hAnsi="仿宋" w:eastAsia="仿宋" w:cs="仿宋"/>
          <w:color w:val="222222"/>
        </w:rPr>
      </w:pP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0"/>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8:00-</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:00）将投标文件（要求密封）递交我校资产与基建处招标采购中心</w:t>
      </w:r>
      <w:r>
        <w:rPr>
          <w:rFonts w:hint="eastAsia" w:ascii="仿宋" w:hAnsi="仿宋" w:eastAsia="仿宋" w:cs="仿宋"/>
          <w:sz w:val="24"/>
          <w:highlight w:val="none"/>
          <w:lang w:eastAsia="zh-CN"/>
        </w:rPr>
        <w:t>，</w:t>
      </w:r>
      <w:r>
        <w:rPr>
          <w:rFonts w:hint="eastAsia" w:ascii="仿宋" w:hAnsi="仿宋" w:eastAsia="仿宋" w:cs="仿宋"/>
          <w:b/>
          <w:bCs/>
          <w:sz w:val="24"/>
          <w:highlight w:val="none"/>
          <w:lang w:val="en-US" w:eastAsia="zh-CN"/>
        </w:rPr>
        <w:t>样品与标书一起提供</w:t>
      </w:r>
      <w:r>
        <w:rPr>
          <w:rFonts w:hint="eastAsia" w:ascii="仿宋" w:hAnsi="仿宋" w:eastAsia="仿宋" w:cs="仿宋"/>
          <w:b/>
          <w:bCs/>
          <w:sz w:val="24"/>
          <w:highlight w:val="none"/>
        </w:rPr>
        <w:t>。</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0"/>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0"/>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0"/>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w:t>
      </w:r>
    </w:p>
    <w:p>
      <w:pPr>
        <w:pStyle w:val="10"/>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资产与基建处资产招标采购科216</w:t>
      </w:r>
      <w:r>
        <w:rPr>
          <w:rFonts w:hint="eastAsia" w:ascii="仿宋" w:hAnsi="仿宋" w:eastAsia="仿宋" w:cs="仿宋"/>
          <w:kern w:val="2"/>
          <w:sz w:val="24"/>
          <w:szCs w:val="24"/>
        </w:rPr>
        <w:t>办公室。</w:t>
      </w:r>
    </w:p>
    <w:p>
      <w:pPr>
        <w:pStyle w:val="10"/>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0"/>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pStyle w:val="10"/>
        <w:widowControl/>
        <w:spacing w:beforeAutospacing="0" w:afterAutospacing="0" w:line="360" w:lineRule="exact"/>
        <w:rPr>
          <w:rFonts w:hint="default" w:ascii="仿宋" w:hAnsi="仿宋" w:eastAsia="仿宋" w:cs="仿宋"/>
          <w:kern w:val="2"/>
          <w:sz w:val="24"/>
          <w:szCs w:val="24"/>
          <w:u w:val="none"/>
          <w:lang w:val="en-US" w:eastAsia="zh-CN"/>
        </w:rPr>
      </w:pPr>
      <w:r>
        <w:rPr>
          <w:rFonts w:hint="eastAsia" w:ascii="仿宋" w:hAnsi="仿宋" w:eastAsia="仿宋" w:cs="仿宋"/>
          <w:kern w:val="2"/>
        </w:rPr>
        <w:t>现场勘查联系方式：</w:t>
      </w:r>
      <w:r>
        <w:rPr>
          <w:rFonts w:hint="eastAsia" w:ascii="仿宋" w:hAnsi="仿宋" w:eastAsia="仿宋" w:cs="仿宋"/>
          <w:kern w:val="2"/>
          <w:sz w:val="24"/>
          <w:szCs w:val="24"/>
          <w:u w:val="none"/>
          <w:lang w:val="en-US" w:eastAsia="zh-CN"/>
        </w:rPr>
        <w:t>海安校区陈老师18851381623</w:t>
      </w:r>
    </w:p>
    <w:p>
      <w:pPr>
        <w:snapToGrid w:val="0"/>
        <w:spacing w:line="360" w:lineRule="exact"/>
        <w:jc w:val="left"/>
      </w:pPr>
      <w:r>
        <w:rPr>
          <w:rFonts w:hint="eastAsia" w:ascii="仿宋" w:hAnsi="仿宋" w:eastAsia="仿宋" w:cs="仿宋"/>
          <w:sz w:val="24"/>
        </w:rPr>
        <w:t>监督联系人及电话：蔡老师0513-85301108</w:t>
      </w:r>
      <w:r>
        <w:rPr>
          <w:rFonts w:hint="eastAsia" w:ascii="仿宋" w:hAnsi="仿宋" w:eastAsia="仿宋" w:cs="仿宋"/>
          <w:sz w:val="24"/>
          <w:lang w:val="en-US" w:eastAsia="zh-CN"/>
        </w:rPr>
        <w:t xml:space="preserve"> </w:t>
      </w:r>
      <w:r>
        <w:rPr>
          <w:rFonts w:hint="eastAsia" w:ascii="仿宋" w:hAnsi="仿宋" w:eastAsia="仿宋" w:cs="仿宋"/>
          <w:sz w:val="24"/>
        </w:rPr>
        <w:t xml:space="preserve">13813609710 </w:t>
      </w:r>
    </w:p>
    <w:p>
      <w:pPr>
        <w:pStyle w:val="10"/>
        <w:widowControl/>
        <w:spacing w:beforeAutospacing="0" w:afterAutospacing="0" w:line="360" w:lineRule="exact"/>
        <w:rPr>
          <w:color w:val="FF0000"/>
        </w:rPr>
      </w:pPr>
      <w:r>
        <w:rPr>
          <w:rFonts w:hint="eastAsia" w:ascii="仿宋" w:hAnsi="仿宋" w:eastAsia="仿宋" w:cs="仿宋"/>
          <w:color w:val="FF0000"/>
          <w:kern w:val="2"/>
        </w:rPr>
        <w:t>联系时间：工作日8:00-11:30,14:00-17:00。其他时间概不接待。</w:t>
      </w:r>
    </w:p>
    <w:p>
      <w:pPr>
        <w:snapToGrid w:val="0"/>
        <w:spacing w:line="360" w:lineRule="exact"/>
        <w:ind w:firstLine="482" w:firstLineChars="200"/>
        <w:rPr>
          <w:rFonts w:hint="eastAsia" w:ascii="宋体" w:hAnsi="宋体" w:cs="宋体"/>
          <w:b/>
          <w:sz w:val="24"/>
        </w:rPr>
      </w:pPr>
    </w:p>
    <w:p>
      <w:pPr>
        <w:snapToGrid w:val="0"/>
        <w:spacing w:line="360" w:lineRule="exact"/>
        <w:ind w:firstLine="482" w:firstLineChars="200"/>
        <w:rPr>
          <w:rFonts w:hint="eastAsia" w:ascii="宋体" w:hAnsi="宋体" w:cs="宋体"/>
          <w:b/>
          <w:sz w:val="24"/>
        </w:rPr>
      </w:pPr>
    </w:p>
    <w:p>
      <w:pPr>
        <w:snapToGrid w:val="0"/>
        <w:spacing w:line="360" w:lineRule="exact"/>
        <w:ind w:firstLine="482" w:firstLineChars="200"/>
        <w:rPr>
          <w:rFonts w:hint="eastAsia"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pStyle w:val="15"/>
        <w:rPr>
          <w:rFonts w:ascii="宋体" w:hAnsi="宋体"/>
          <w:b/>
          <w:bCs/>
          <w:sz w:val="30"/>
          <w:szCs w:val="30"/>
        </w:rPr>
      </w:pPr>
    </w:p>
    <w:p>
      <w:pPr>
        <w:pStyle w:val="15"/>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5"/>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w:t>
      </w:r>
      <w:r>
        <w:rPr>
          <w:rFonts w:hint="eastAsia"/>
          <w:sz w:val="24"/>
          <w:lang w:val="en-US" w:eastAsia="zh-CN"/>
        </w:rPr>
        <w:t>包含</w:t>
      </w:r>
      <w:r>
        <w:rPr>
          <w:rFonts w:hint="eastAsia" w:ascii="宋体" w:hAnsi="宋体" w:eastAsia="宋体" w:cs="宋体"/>
          <w:i w:val="0"/>
          <w:iCs w:val="0"/>
          <w:caps w:val="0"/>
          <w:color w:val="333333"/>
          <w:spacing w:val="0"/>
          <w:sz w:val="24"/>
          <w:szCs w:val="24"/>
          <w:shd w:val="clear" w:fill="FFFFFF"/>
        </w:rPr>
        <w:t>产品简介、规格型号、参数说明</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rFonts w:hint="eastAsia"/>
          <w:sz w:val="24"/>
        </w:rPr>
      </w:pPr>
      <w:r>
        <w:rPr>
          <w:rFonts w:hint="eastAsia"/>
          <w:sz w:val="24"/>
        </w:rPr>
        <w:t>（</w:t>
      </w:r>
      <w:r>
        <w:rPr>
          <w:sz w:val="24"/>
        </w:rPr>
        <w:t>2</w:t>
      </w:r>
      <w:r>
        <w:rPr>
          <w:rFonts w:hint="eastAsia"/>
          <w:sz w:val="24"/>
        </w:rPr>
        <w:t>）法定代表人资格证明原件</w:t>
      </w:r>
    </w:p>
    <w:p>
      <w:pPr>
        <w:spacing w:line="360" w:lineRule="auto"/>
        <w:ind w:firstLine="480" w:firstLineChars="200"/>
        <w:rPr>
          <w:sz w:val="24"/>
        </w:rPr>
      </w:pPr>
      <w:r>
        <w:rPr>
          <w:rFonts w:hint="eastAsia"/>
          <w:sz w:val="24"/>
        </w:rPr>
        <w:t>（</w:t>
      </w:r>
      <w:r>
        <w:rPr>
          <w:sz w:val="24"/>
        </w:rPr>
        <w:t>3</w:t>
      </w:r>
      <w:r>
        <w:rPr>
          <w:rFonts w:hint="eastAsia"/>
          <w:sz w:val="24"/>
        </w:rPr>
        <w:t>）法定代表人授权书原件</w:t>
      </w:r>
    </w:p>
    <w:p>
      <w:pPr>
        <w:spacing w:line="360" w:lineRule="auto"/>
        <w:ind w:firstLine="480" w:firstLineChars="200"/>
        <w:rPr>
          <w:rFonts w:eastAsia="宋体"/>
          <w:sz w:val="24"/>
        </w:rPr>
      </w:pPr>
      <w:r>
        <w:rPr>
          <w:rFonts w:hint="eastAsia" w:eastAsia="宋体"/>
          <w:sz w:val="24"/>
        </w:rPr>
        <w:t>（</w:t>
      </w:r>
      <w:r>
        <w:rPr>
          <w:rFonts w:eastAsia="宋体"/>
          <w:sz w:val="24"/>
        </w:rPr>
        <w:t>4</w:t>
      </w:r>
      <w:r>
        <w:rPr>
          <w:rFonts w:hint="eastAsia" w:eastAsia="宋体"/>
          <w:sz w:val="24"/>
        </w:rPr>
        <w:t>）法定代表人及授权代表身份证复印件或其他相关证明</w:t>
      </w:r>
    </w:p>
    <w:p>
      <w:pPr>
        <w:spacing w:line="360" w:lineRule="auto"/>
        <w:ind w:firstLine="480" w:firstLineChars="200"/>
        <w:rPr>
          <w:rFonts w:hint="eastAsia" w:eastAsia="宋体"/>
          <w:sz w:val="24"/>
        </w:rPr>
      </w:pPr>
      <w:r>
        <w:rPr>
          <w:rFonts w:hint="eastAsia" w:eastAsia="宋体"/>
          <w:sz w:val="24"/>
        </w:rPr>
        <w:t>（</w:t>
      </w:r>
      <w:r>
        <w:rPr>
          <w:rFonts w:eastAsia="宋体"/>
          <w:sz w:val="24"/>
        </w:rPr>
        <w:t>5</w:t>
      </w:r>
      <w:r>
        <w:rPr>
          <w:rFonts w:hint="eastAsia" w:eastAsia="宋体"/>
          <w:sz w:val="24"/>
        </w:rPr>
        <w:t>）投标人近三年内无行贿犯罪违法记录声明</w:t>
      </w:r>
    </w:p>
    <w:p>
      <w:pPr>
        <w:spacing w:line="360" w:lineRule="auto"/>
        <w:ind w:firstLine="480" w:firstLineChars="200"/>
        <w:rPr>
          <w:rFonts w:hint="eastAsia" w:eastAsia="宋体"/>
          <w:sz w:val="24"/>
          <w:lang w:val="en-US" w:eastAsia="zh-CN"/>
        </w:rPr>
      </w:pPr>
      <w:r>
        <w:rPr>
          <w:rFonts w:hint="eastAsia" w:eastAsia="宋体"/>
          <w:sz w:val="24"/>
          <w:lang w:val="en-US" w:eastAsia="zh-CN"/>
        </w:rPr>
        <w:t>（6）原厂授权和原厂质保函</w:t>
      </w:r>
    </w:p>
    <w:p>
      <w:pPr>
        <w:spacing w:line="360" w:lineRule="auto"/>
        <w:ind w:firstLine="482" w:firstLineChars="200"/>
        <w:rPr>
          <w:rFonts w:hint="default" w:eastAsia="宋体"/>
          <w:b/>
          <w:bCs/>
          <w:color w:val="0070C0"/>
          <w:sz w:val="24"/>
          <w:lang w:val="en-US" w:eastAsia="zh-CN"/>
        </w:rPr>
      </w:pPr>
      <w:r>
        <w:rPr>
          <w:rFonts w:hint="eastAsia" w:eastAsia="宋体"/>
          <w:b/>
          <w:bCs/>
          <w:color w:val="0070C0"/>
          <w:sz w:val="24"/>
          <w:lang w:val="en-US" w:eastAsia="zh-CN"/>
        </w:rPr>
        <w:t>（7）环保产品认证证书</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r>
        <w:rPr>
          <w:rFonts w:hint="eastAsia"/>
          <w:color w:val="0000FF"/>
          <w:sz w:val="24"/>
          <w:lang w:eastAsia="zh-CN"/>
        </w:rPr>
        <w:t>（</w:t>
      </w:r>
      <w:r>
        <w:rPr>
          <w:rFonts w:hint="eastAsia"/>
          <w:color w:val="0000FF"/>
          <w:sz w:val="24"/>
          <w:lang w:val="en-US" w:eastAsia="zh-CN"/>
        </w:rPr>
        <w:t>投标人需标明所报产品的详细参数</w:t>
      </w:r>
      <w:r>
        <w:rPr>
          <w:rFonts w:hint="eastAsia"/>
          <w:color w:val="0000FF"/>
          <w:sz w:val="24"/>
          <w:lang w:eastAsia="zh-CN"/>
        </w:rPr>
        <w:t>）</w:t>
      </w:r>
      <w:r>
        <w:rPr>
          <w:rFonts w:hint="eastAsia"/>
          <w:sz w:val="24"/>
        </w:rPr>
        <w:t>：</w:t>
      </w:r>
    </w:p>
    <w:p>
      <w:pPr>
        <w:spacing w:line="360" w:lineRule="auto"/>
        <w:ind w:firstLine="480" w:firstLineChars="200"/>
        <w:rPr>
          <w:sz w:val="24"/>
        </w:rPr>
      </w:pPr>
      <w:r>
        <w:rPr>
          <w:rFonts w:hint="eastAsia"/>
          <w:sz w:val="24"/>
        </w:rPr>
        <w:t>（</w:t>
      </w:r>
      <w:r>
        <w:rPr>
          <w:sz w:val="24"/>
        </w:rPr>
        <w:t>1</w:t>
      </w:r>
      <w:r>
        <w:rPr>
          <w:rFonts w:hint="eastAsia"/>
          <w:sz w:val="24"/>
        </w:rPr>
        <w:t>）售后服务承诺书或技术协议书</w:t>
      </w:r>
    </w:p>
    <w:p>
      <w:pPr>
        <w:spacing w:line="360" w:lineRule="auto"/>
        <w:ind w:firstLine="480" w:firstLineChars="200"/>
        <w:rPr>
          <w:rFonts w:hint="eastAsia"/>
          <w:sz w:val="24"/>
        </w:rPr>
      </w:pPr>
      <w:r>
        <w:rPr>
          <w:rFonts w:hint="eastAsia"/>
          <w:sz w:val="24"/>
        </w:rPr>
        <w:t>（</w:t>
      </w:r>
      <w:r>
        <w:rPr>
          <w:rFonts w:hint="eastAsia"/>
          <w:sz w:val="24"/>
          <w:lang w:val="en-US" w:eastAsia="zh-CN"/>
        </w:rPr>
        <w:t>2</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）投标产品宣传彩页、合格文件、技术资料等</w:t>
      </w:r>
    </w:p>
    <w:p>
      <w:pPr>
        <w:spacing w:line="360" w:lineRule="auto"/>
        <w:ind w:firstLine="480" w:firstLineChars="200"/>
        <w:rPr>
          <w:b/>
          <w:sz w:val="24"/>
        </w:rPr>
      </w:pPr>
      <w:r>
        <w:rPr>
          <w:rFonts w:hint="eastAsia"/>
          <w:sz w:val="24"/>
        </w:rPr>
        <w:t>（</w:t>
      </w:r>
      <w:r>
        <w:rPr>
          <w:rFonts w:hint="eastAsia"/>
          <w:sz w:val="24"/>
          <w:lang w:val="en-US" w:eastAsia="zh-CN"/>
        </w:rPr>
        <w:t>4</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w:t>
      </w:r>
      <w:r>
        <w:rPr>
          <w:rFonts w:hint="eastAsia"/>
          <w:sz w:val="24"/>
          <w:lang w:val="zh-CN"/>
        </w:rPr>
        <w:t>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color w:val="FF0000"/>
          <w:sz w:val="24"/>
        </w:rPr>
      </w:pPr>
      <w:r>
        <w:rPr>
          <w:rFonts w:hint="eastAsia"/>
          <w:color w:val="FF0000"/>
          <w:sz w:val="24"/>
          <w:lang w:eastAsia="zh-CN"/>
        </w:rPr>
        <w:t>（</w:t>
      </w:r>
      <w:r>
        <w:rPr>
          <w:rFonts w:hint="eastAsia"/>
          <w:color w:val="FF0000"/>
          <w:sz w:val="24"/>
          <w:lang w:val="en-US" w:eastAsia="zh-CN"/>
        </w:rPr>
        <w:t>2</w:t>
      </w:r>
      <w:r>
        <w:rPr>
          <w:rFonts w:hint="eastAsia"/>
          <w:color w:val="FF0000"/>
          <w:sz w:val="24"/>
          <w:lang w:eastAsia="zh-CN"/>
        </w:rPr>
        <w:t>）</w:t>
      </w:r>
      <w:r>
        <w:rPr>
          <w:rFonts w:hint="eastAsia"/>
          <w:color w:val="FF0000"/>
          <w:sz w:val="24"/>
        </w:rPr>
        <w:t>投标总价应是货物完税后的用户</w:t>
      </w:r>
      <w:r>
        <w:rPr>
          <w:rFonts w:hint="eastAsia"/>
          <w:color w:val="FF0000"/>
          <w:sz w:val="24"/>
          <w:lang w:eastAsia="zh-CN"/>
        </w:rPr>
        <w:t>的</w:t>
      </w:r>
      <w:r>
        <w:rPr>
          <w:rFonts w:hint="eastAsia"/>
          <w:color w:val="FF0000"/>
          <w:sz w:val="24"/>
        </w:rPr>
        <w:t>交货价，其中应包含材料的加工、制作</w:t>
      </w:r>
      <w:r>
        <w:rPr>
          <w:rFonts w:hint="eastAsia"/>
          <w:color w:val="FF0000"/>
          <w:sz w:val="24"/>
          <w:lang w:eastAsia="zh-CN"/>
        </w:rPr>
        <w:t>、</w:t>
      </w:r>
      <w:r>
        <w:rPr>
          <w:rFonts w:hint="eastAsia"/>
          <w:color w:val="FF0000"/>
          <w:sz w:val="24"/>
        </w:rPr>
        <w:t>运输、搬运、安装调试、材料检验、施工</w:t>
      </w:r>
      <w:r>
        <w:rPr>
          <w:rFonts w:hint="eastAsia"/>
          <w:color w:val="FF0000"/>
          <w:sz w:val="24"/>
          <w:lang w:eastAsia="zh-CN"/>
        </w:rPr>
        <w:t>、</w:t>
      </w:r>
      <w:r>
        <w:rPr>
          <w:rFonts w:hint="eastAsia"/>
          <w:color w:val="FF0000"/>
          <w:sz w:val="24"/>
        </w:rPr>
        <w:t>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逾期送达或未送达指定地点以及未按询价文件要求密封的投标文件，潜在投标人须自行承担相应风险。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招标人按规定的时间和地点进行公开开标，</w:t>
      </w:r>
      <w:r>
        <w:rPr>
          <w:rFonts w:hint="eastAsia"/>
          <w:color w:val="FF0000"/>
          <w:sz w:val="24"/>
        </w:rPr>
        <w:t>投标人</w:t>
      </w:r>
      <w:r>
        <w:rPr>
          <w:rFonts w:hint="eastAsia"/>
          <w:color w:val="FF0000"/>
          <w:sz w:val="24"/>
          <w:lang w:val="en-US" w:eastAsia="zh-CN"/>
        </w:rPr>
        <w:t>根据招标人通知</w:t>
      </w:r>
      <w:r>
        <w:rPr>
          <w:rFonts w:hint="eastAsia"/>
          <w:sz w:val="24"/>
        </w:rPr>
        <w:t>可派代表（持授权代表身份证明）参加。</w:t>
      </w:r>
      <w:r>
        <w:rPr>
          <w:rFonts w:hint="eastAsia" w:ascii="黑体" w:eastAsia="黑体"/>
          <w:b/>
          <w:sz w:val="24"/>
        </w:rPr>
        <w:t>投标人未派代表参加开标的，视为默认接受开标结果。</w:t>
      </w:r>
    </w:p>
    <w:p>
      <w:pPr>
        <w:spacing w:line="360" w:lineRule="auto"/>
        <w:ind w:firstLine="482" w:firstLineChars="200"/>
        <w:rPr>
          <w:b/>
          <w:sz w:val="24"/>
        </w:rPr>
      </w:pPr>
      <w:r>
        <w:rPr>
          <w:b/>
          <w:sz w:val="24"/>
        </w:rPr>
        <w:t xml:space="preserve">4.2. </w:t>
      </w:r>
      <w:r>
        <w:rPr>
          <w:rFonts w:hint="eastAsia" w:ascii="宋体"/>
          <w:sz w:val="24"/>
          <w:lang w:val="zh-CN"/>
        </w:rPr>
        <w:t>开标时，</w:t>
      </w:r>
      <w:r>
        <w:rPr>
          <w:rFonts w:hint="eastAsia"/>
          <w:sz w:val="24"/>
        </w:rPr>
        <w:t>招标人</w:t>
      </w:r>
      <w:r>
        <w:rPr>
          <w:rFonts w:hint="eastAsia" w:ascii="宋体"/>
          <w:sz w:val="24"/>
          <w:lang w:val="zh-CN"/>
        </w:rPr>
        <w:t>将邀请</w:t>
      </w:r>
      <w:r>
        <w:rPr>
          <w:rFonts w:hint="eastAsia"/>
          <w:sz w:val="24"/>
        </w:rPr>
        <w:t>投标人代表检查投标文件的密封情况，经确认无误后，由工作人员当众拆封，宣读投标人名称、投标价格、交货期等投标文件的主要内容。</w:t>
      </w:r>
    </w:p>
    <w:p>
      <w:pPr>
        <w:spacing w:line="360" w:lineRule="auto"/>
        <w:ind w:firstLine="482" w:firstLineChars="200"/>
        <w:rPr>
          <w:sz w:val="24"/>
        </w:rPr>
      </w:pPr>
      <w:r>
        <w:rPr>
          <w:b/>
          <w:sz w:val="24"/>
        </w:rPr>
        <w:t xml:space="preserve">4.3.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 xml:space="preserve">4.4.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 xml:space="preserve">4.5.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 xml:space="preserve">4.6.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 xml:space="preserve">4.7.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 xml:space="preserve">4.8.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ascii="宋体"/>
          <w:bCs/>
          <w:sz w:val="24"/>
        </w:rPr>
      </w:pPr>
      <w:r>
        <w:rPr>
          <w:rFonts w:hint="eastAsia" w:ascii="宋体" w:hAnsi="宋体"/>
          <w:b/>
          <w:sz w:val="24"/>
        </w:rPr>
        <w:t>评分标准</w:t>
      </w:r>
    </w:p>
    <w:tbl>
      <w:tblPr>
        <w:tblStyle w:val="11"/>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60</w:t>
            </w:r>
          </w:p>
        </w:tc>
        <w:tc>
          <w:tcPr>
            <w:tcW w:w="7213" w:type="dxa"/>
            <w:gridSpan w:val="2"/>
            <w:vAlign w:val="center"/>
          </w:tcPr>
          <w:p>
            <w:pPr>
              <w:ind w:left="-2" w:leftChars="-1" w:firstLine="420" w:firstLineChars="200"/>
            </w:pPr>
            <w:r>
              <w:rPr>
                <w:rFonts w:hint="eastAsia"/>
              </w:rPr>
              <w:t>采用算术平均价法：</w:t>
            </w:r>
          </w:p>
          <w:p>
            <w:pPr>
              <w:ind w:left="-2" w:leftChars="-1" w:firstLine="420" w:firstLineChars="200"/>
              <w:rPr>
                <w:rFonts w:ascii="宋体" w:hAnsi="宋体" w:cs="宋体"/>
              </w:rPr>
            </w:pPr>
            <w:r>
              <w:rPr>
                <w:rFonts w:hint="eastAsia" w:ascii="宋体" w:hAnsi="宋体" w:cs="宋体"/>
              </w:rPr>
              <w:t>所有有效投标报价的算术平均值作为评标基准价，等于评标基准价的得基本分50分。投标人的投标报价每高于评标基准价</w:t>
            </w:r>
            <w:r>
              <w:rPr>
                <w:rFonts w:hint="eastAsia" w:ascii="宋体" w:hAnsi="宋体" w:cs="宋体"/>
                <w:lang w:val="en-US" w:eastAsia="zh-CN"/>
              </w:rPr>
              <w:t>1</w:t>
            </w:r>
            <w:r>
              <w:rPr>
                <w:rFonts w:hint="eastAsia" w:ascii="宋体" w:hAnsi="宋体" w:cs="宋体"/>
              </w:rPr>
              <w:t>%扣1分，扣完为止。投标人的投标报价每低于评标基准价</w:t>
            </w:r>
            <w:r>
              <w:rPr>
                <w:rFonts w:hint="eastAsia" w:ascii="宋体" w:hAnsi="宋体" w:cs="宋体"/>
                <w:lang w:val="en-US" w:eastAsia="zh-CN"/>
              </w:rPr>
              <w:t>1</w:t>
            </w:r>
            <w:r>
              <w:rPr>
                <w:rFonts w:hint="eastAsia" w:ascii="宋体" w:hAnsi="宋体" w:cs="宋体"/>
              </w:rPr>
              <w:t>%加1分，最多加10分。中间插值计算。</w:t>
            </w:r>
          </w:p>
          <w:p>
            <w:pPr>
              <w:rPr>
                <w:rFonts w:ascii="宋体" w:hAnsi="宋体" w:cs="宋体"/>
                <w:color w:val="000000"/>
                <w:szCs w:val="21"/>
              </w:rPr>
            </w:pPr>
            <w:r>
              <w:rPr>
                <w:rFonts w:hint="eastAsia" w:ascii="宋体" w:hAnsi="宋体" w:cs="宋体"/>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25</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技术要求（20）</w:t>
            </w:r>
          </w:p>
        </w:tc>
        <w:tc>
          <w:tcPr>
            <w:tcW w:w="5937" w:type="dxa"/>
            <w:vAlign w:val="center"/>
          </w:tcPr>
          <w:p>
            <w:pPr>
              <w:ind w:firstLine="420" w:firstLineChars="200"/>
              <w:rPr>
                <w:rFonts w:ascii="宋体" w:hAnsi="宋体" w:cs="宋体"/>
                <w:color w:val="000000"/>
                <w:szCs w:val="21"/>
              </w:rPr>
            </w:pPr>
            <w:r>
              <w:rPr>
                <w:rFonts w:hint="eastAsia"/>
                <w:szCs w:val="21"/>
              </w:rPr>
              <w:t>完全满足招标文件技术指标要求的基准分15分；有实质性正偏离每项加</w:t>
            </w:r>
            <w:r>
              <w:rPr>
                <w:szCs w:val="21"/>
              </w:rPr>
              <w:t>1</w:t>
            </w:r>
            <w:r>
              <w:rPr>
                <w:rFonts w:hint="eastAsia"/>
                <w:szCs w:val="21"/>
                <w:lang w:eastAsia="zh-CN"/>
              </w:rPr>
              <w:t>—</w:t>
            </w:r>
            <w:r>
              <w:rPr>
                <w:rFonts w:hint="eastAsia"/>
                <w:szCs w:val="21"/>
              </w:rPr>
              <w:t>2分，最多加5分；有实质性负偏离每项减</w:t>
            </w:r>
            <w:r>
              <w:rPr>
                <w:szCs w:val="21"/>
              </w:rPr>
              <w:t>1</w:t>
            </w:r>
            <w:r>
              <w:rPr>
                <w:rFonts w:hint="eastAsia"/>
                <w:szCs w:val="21"/>
                <w:lang w:eastAsia="zh-CN"/>
              </w:rPr>
              <w:t>—</w:t>
            </w:r>
            <w:r>
              <w:rPr>
                <w:rFonts w:hint="eastAsia"/>
                <w:szCs w:val="21"/>
              </w:rPr>
              <w:t>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center"/>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性能品质（5）</w:t>
            </w:r>
          </w:p>
        </w:tc>
        <w:tc>
          <w:tcPr>
            <w:tcW w:w="5937" w:type="dxa"/>
            <w:vAlign w:val="center"/>
          </w:tcPr>
          <w:p>
            <w:pPr>
              <w:ind w:firstLine="420" w:firstLineChars="200"/>
              <w:rPr>
                <w:rFonts w:ascii="宋体" w:hAnsi="宋体" w:cs="宋体"/>
                <w:color w:val="000000"/>
                <w:szCs w:val="21"/>
              </w:rPr>
            </w:pPr>
            <w:r>
              <w:rPr>
                <w:rFonts w:hint="eastAsia"/>
                <w:szCs w:val="21"/>
              </w:rPr>
              <w:t>对投标产品的品牌、系列、档次、产地、行业（或高校）占有率、影响力以及产品的先进性、可靠性、稳定性等方面进行综合评价，评价好得4</w:t>
            </w:r>
            <w:r>
              <w:rPr>
                <w:rFonts w:hint="eastAsia"/>
                <w:szCs w:val="21"/>
                <w:lang w:eastAsia="zh-CN"/>
              </w:rPr>
              <w:t>～</w:t>
            </w:r>
            <w:r>
              <w:rPr>
                <w:rFonts w:hint="eastAsia"/>
                <w:szCs w:val="21"/>
              </w:rPr>
              <w:t>5分；评价较好得2</w:t>
            </w:r>
            <w:r>
              <w:rPr>
                <w:rFonts w:hint="eastAsia"/>
                <w:szCs w:val="21"/>
                <w:lang w:eastAsia="zh-CN"/>
              </w:rPr>
              <w:t>～</w:t>
            </w:r>
            <w:r>
              <w:rPr>
                <w:rFonts w:hint="eastAsia"/>
                <w:szCs w:val="21"/>
              </w:rPr>
              <w:t>3分；评价一般得0</w:t>
            </w:r>
            <w:r>
              <w:rPr>
                <w:szCs w:val="21"/>
              </w:rPr>
              <w:t>~</w:t>
            </w:r>
            <w:r>
              <w:rPr>
                <w:rFonts w:hint="eastAsia"/>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企业资质</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vAlign w:val="center"/>
          </w:tcPr>
          <w:p>
            <w:pPr>
              <w:rPr>
                <w:rFonts w:ascii="宋体" w:hAnsi="宋体" w:cs="宋体"/>
                <w:color w:val="000000"/>
                <w:szCs w:val="21"/>
              </w:rPr>
            </w:pPr>
            <w:r>
              <w:rPr>
                <w:rFonts w:hint="eastAsia" w:ascii="宋体" w:hAnsi="宋体" w:cs="宋体"/>
                <w:color w:val="000000"/>
                <w:szCs w:val="21"/>
              </w:rPr>
              <w:t>根据厂家和投标人综合实力进行横向比较，优得</w:t>
            </w:r>
            <w:r>
              <w:rPr>
                <w:rFonts w:hint="eastAsia" w:ascii="宋体" w:hAnsi="宋体" w:cs="宋体"/>
                <w:color w:val="000000"/>
                <w:szCs w:val="21"/>
                <w:lang w:val="en-US" w:eastAsia="zh-CN"/>
              </w:rPr>
              <w:t>3</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业绩案例</w:t>
            </w:r>
          </w:p>
          <w:p>
            <w:pPr>
              <w:jc w:val="center"/>
              <w:rPr>
                <w:rFonts w:ascii="宋体" w:hAnsi="宋体" w:cs="宋体"/>
                <w:color w:val="000000"/>
                <w:szCs w:val="21"/>
              </w:rPr>
            </w:pPr>
            <w:r>
              <w:rPr>
                <w:rFonts w:hint="eastAsia" w:ascii="宋体" w:hAnsi="宋体" w:cs="宋体"/>
                <w:color w:val="000000"/>
                <w:szCs w:val="21"/>
              </w:rPr>
              <w:t>(3)</w:t>
            </w:r>
          </w:p>
        </w:tc>
        <w:tc>
          <w:tcPr>
            <w:tcW w:w="5937" w:type="dxa"/>
            <w:vAlign w:val="center"/>
          </w:tcPr>
          <w:p>
            <w:pPr>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0.5</w:t>
            </w:r>
            <w:r>
              <w:rPr>
                <w:rFonts w:hint="eastAsia"/>
                <w:color w:val="000000"/>
                <w:szCs w:val="21"/>
              </w:rPr>
              <w:t>分，最多3分。</w:t>
            </w:r>
          </w:p>
          <w:p>
            <w:pPr>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提供合同复印件、合同中不得隐去任何内容（否则不得分），业主运行使用情况证明及验收合格报告等作为佐证材料，原件备查。）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售后服务</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vAlign w:val="center"/>
          </w:tcPr>
          <w:p>
            <w:pPr>
              <w:rPr>
                <w:rFonts w:ascii="宋体" w:hAnsi="宋体" w:cs="宋体"/>
                <w:color w:val="000000"/>
                <w:szCs w:val="21"/>
              </w:rPr>
            </w:pPr>
            <w:r>
              <w:rPr>
                <w:rFonts w:hint="eastAsia" w:ascii="宋体" w:hAnsi="宋体" w:cs="宋体"/>
                <w:color w:val="000000"/>
                <w:szCs w:val="21"/>
              </w:rPr>
              <w:t>根据售后服务方案、本地化服务能力、故障响应时间、处理速度、定期巡检</w:t>
            </w:r>
            <w:r>
              <w:rPr>
                <w:rFonts w:hint="eastAsia"/>
                <w:szCs w:val="21"/>
              </w:rPr>
              <w:t>以及技术支持、技术培训等服务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w:t>
            </w:r>
            <w:r>
              <w:rPr>
                <w:rFonts w:hint="eastAsia" w:ascii="宋体" w:hAnsi="宋体" w:cs="宋体"/>
                <w:color w:val="000000"/>
                <w:szCs w:val="21"/>
                <w:lang w:eastAsia="zh-CN"/>
              </w:rPr>
              <w:t>—</w:t>
            </w:r>
            <w:r>
              <w:rPr>
                <w:rFonts w:hint="eastAsia" w:ascii="宋体" w:hAnsi="宋体" w:cs="宋体"/>
                <w:color w:val="000000"/>
                <w:szCs w:val="21"/>
                <w:lang w:val="en-US" w:eastAsia="zh-CN"/>
              </w:rPr>
              <w:t>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lang w:val="en-US" w:eastAsia="zh-CN"/>
              </w:rPr>
              <w:t>0</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center"/>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质保期</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vAlign w:val="center"/>
          </w:tcPr>
          <w:p>
            <w:pPr>
              <w:rPr>
                <w:rFonts w:ascii="宋体" w:hAnsi="宋体" w:cs="宋体"/>
                <w:color w:val="000000"/>
                <w:szCs w:val="21"/>
              </w:rPr>
            </w:pPr>
            <w:r>
              <w:rPr>
                <w:rFonts w:hint="eastAsia"/>
                <w:color w:val="000000"/>
                <w:szCs w:val="21"/>
              </w:rPr>
              <w:t>满足招标文件得</w:t>
            </w:r>
            <w:r>
              <w:rPr>
                <w:rFonts w:hint="eastAsia"/>
                <w:color w:val="000000"/>
                <w:szCs w:val="21"/>
                <w:lang w:val="en-US" w:eastAsia="zh-CN"/>
              </w:rPr>
              <w:t>2</w:t>
            </w:r>
            <w:r>
              <w:rPr>
                <w:rFonts w:hint="eastAsia"/>
                <w:color w:val="000000"/>
                <w:szCs w:val="21"/>
              </w:rPr>
              <w:t>分，在原厂质</w:t>
            </w:r>
            <w:r>
              <w:rPr>
                <w:rFonts w:hint="eastAsia"/>
                <w:color w:val="auto"/>
                <w:szCs w:val="21"/>
                <w:highlight w:val="none"/>
              </w:rPr>
              <w:t>保</w:t>
            </w:r>
            <w:r>
              <w:rPr>
                <w:rFonts w:hint="eastAsia"/>
                <w:color w:val="auto"/>
                <w:szCs w:val="21"/>
                <w:highlight w:val="none"/>
                <w:lang w:eastAsia="zh-CN"/>
              </w:rPr>
              <w:t>五</w:t>
            </w:r>
            <w:r>
              <w:rPr>
                <w:rFonts w:hint="eastAsia"/>
                <w:color w:val="000000"/>
                <w:szCs w:val="21"/>
              </w:rPr>
              <w:t>年的基础上所有产品同时每延长一年加</w:t>
            </w:r>
            <w:r>
              <w:rPr>
                <w:rFonts w:hint="eastAsia" w:ascii="宋体" w:hAnsi="宋体" w:cs="宋体"/>
                <w:color w:val="000000"/>
                <w:szCs w:val="21"/>
              </w:rPr>
              <w:t>1分，最多加</w:t>
            </w:r>
            <w:r>
              <w:rPr>
                <w:rFonts w:hint="eastAsia" w:ascii="宋体" w:hAnsi="宋体" w:cs="宋体"/>
                <w:color w:val="000000"/>
                <w:szCs w:val="21"/>
                <w:lang w:val="en-US" w:eastAsia="zh-CN"/>
              </w:rPr>
              <w:t>2</w:t>
            </w:r>
            <w:r>
              <w:rPr>
                <w:rFonts w:hint="eastAsia" w:ascii="宋体" w:hAnsi="宋体" w:cs="宋体"/>
                <w:color w:val="000000"/>
                <w:szCs w:val="21"/>
              </w:rPr>
              <w:t>分。需提供原厂质保函原件，否则不得分。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投标文件</w:t>
            </w:r>
          </w:p>
        </w:tc>
        <w:tc>
          <w:tcPr>
            <w:tcW w:w="5937" w:type="dxa"/>
            <w:vAlign w:val="center"/>
          </w:tcPr>
          <w:p>
            <w:pPr>
              <w:widowControl/>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5"/>
      </w:pPr>
    </w:p>
    <w:p>
      <w:pPr>
        <w:pStyle w:val="15"/>
      </w:pPr>
      <w:bookmarkStart w:id="16" w:name="_GoBack"/>
      <w:bookmarkEnd w:id="16"/>
    </w:p>
    <w:p>
      <w:pPr>
        <w:pStyle w:val="15"/>
      </w:pPr>
    </w:p>
    <w:p>
      <w:pPr>
        <w:pStyle w:val="15"/>
      </w:pPr>
    </w:p>
    <w:p>
      <w:pPr>
        <w:pStyle w:val="15"/>
      </w:pPr>
    </w:p>
    <w:p>
      <w:pPr>
        <w:pStyle w:val="15"/>
        <w:ind w:left="0" w:leftChars="0" w:firstLine="0" w:firstLineChars="0"/>
      </w:pPr>
    </w:p>
    <w:p>
      <w:pPr>
        <w:spacing w:line="360" w:lineRule="auto"/>
        <w:jc w:val="center"/>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val="en-US" w:eastAsia="zh-CN"/>
        </w:rPr>
        <w:t>三</w:t>
      </w:r>
      <w:r>
        <w:rPr>
          <w:rFonts w:hint="eastAsia" w:ascii="宋体" w:hAnsi="宋体"/>
          <w:b/>
          <w:bCs/>
          <w:sz w:val="44"/>
          <w:szCs w:val="44"/>
        </w:rPr>
        <w:t>部分  合同相关要求</w:t>
      </w:r>
    </w:p>
    <w:p>
      <w:pPr>
        <w:ind w:left="424" w:leftChars="202"/>
        <w:rPr>
          <w:rFonts w:hint="eastAsia" w:ascii="仿宋_GB2312" w:hAnsi="宋体" w:eastAsia="仿宋_GB2312"/>
          <w:sz w:val="28"/>
          <w:szCs w:val="28"/>
        </w:rPr>
      </w:pPr>
    </w:p>
    <w:p>
      <w:pPr>
        <w:spacing w:line="360" w:lineRule="exact"/>
        <w:ind w:left="422" w:leftChars="201" w:firstLine="480" w:firstLineChars="200"/>
        <w:rPr>
          <w:rFonts w:hint="eastAsia" w:ascii="宋体" w:hAnsi="宋体"/>
          <w:sz w:val="24"/>
          <w:szCs w:val="24"/>
        </w:rPr>
      </w:pPr>
      <w:r>
        <w:rPr>
          <w:rFonts w:hint="eastAsia" w:ascii="宋体" w:hAnsi="宋体"/>
          <w:sz w:val="24"/>
          <w:szCs w:val="24"/>
          <w:lang w:val="en-GB"/>
        </w:rPr>
        <w:t>1．</w:t>
      </w:r>
      <w:r>
        <w:rPr>
          <w:rFonts w:hint="eastAsia" w:ascii="宋体" w:hAnsi="宋体"/>
          <w:b/>
          <w:bCs/>
          <w:sz w:val="24"/>
          <w:szCs w:val="24"/>
        </w:rPr>
        <w:t>招标人对中标候选人提供的业绩进行抽查核实，确认无误后签订采购合同</w:t>
      </w:r>
      <w:r>
        <w:rPr>
          <w:rFonts w:hint="eastAsia" w:ascii="宋体" w:hAnsi="宋体"/>
          <w:sz w:val="24"/>
          <w:szCs w:val="24"/>
        </w:rPr>
        <w:t>。中标人</w:t>
      </w:r>
      <w:r>
        <w:rPr>
          <w:rFonts w:hint="eastAsia" w:ascii="宋体" w:hAnsi="宋体"/>
          <w:sz w:val="24"/>
          <w:szCs w:val="24"/>
          <w:lang w:val="en-GB"/>
        </w:rPr>
        <w:t>所签合同不得对招标文件作实质性修改。否则投标保证金将不予退还，由此给招标人造成损失的，中标人还应承担赔偿责任。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2．</w:t>
      </w:r>
      <w:r>
        <w:rPr>
          <w:rFonts w:hint="eastAsia" w:ascii="宋体" w:hAnsi="宋体"/>
          <w:sz w:val="24"/>
          <w:szCs w:val="24"/>
        </w:rPr>
        <w:t>采购招标文件</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的投标文件及投标过程中有关书面澄清、承诺等均应作为合同附件，具有同等的法律效力。</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3.</w:t>
      </w:r>
      <w:r>
        <w:rPr>
          <w:rFonts w:hint="eastAsia" w:ascii="宋体" w:hAnsi="宋体"/>
          <w:sz w:val="24"/>
          <w:szCs w:val="24"/>
        </w:rPr>
        <w:t>中标人</w:t>
      </w:r>
      <w:r>
        <w:rPr>
          <w:rFonts w:hint="eastAsia" w:ascii="宋体" w:hAnsi="宋体"/>
          <w:sz w:val="24"/>
          <w:szCs w:val="24"/>
          <w:lang w:val="en-GB"/>
        </w:rPr>
        <w:t>不得采用分包的形式履行合同，否则招标人有权终止合同，造成招标人损失的，</w:t>
      </w:r>
      <w:r>
        <w:rPr>
          <w:rFonts w:hint="eastAsia" w:ascii="宋体" w:hAnsi="宋体"/>
          <w:sz w:val="24"/>
          <w:szCs w:val="24"/>
        </w:rPr>
        <w:t>中标人</w:t>
      </w:r>
      <w:r>
        <w:rPr>
          <w:rFonts w:hint="eastAsia" w:ascii="宋体" w:hAnsi="宋体"/>
          <w:sz w:val="24"/>
          <w:szCs w:val="24"/>
          <w:lang w:val="en-GB"/>
        </w:rPr>
        <w:t>应承担相应赔偿责任。</w:t>
      </w:r>
      <w:r>
        <w:rPr>
          <w:rFonts w:hint="eastAsia" w:ascii="宋体" w:hAnsi="宋体"/>
          <w:sz w:val="24"/>
          <w:szCs w:val="24"/>
        </w:rPr>
        <w:t>中标人</w:t>
      </w:r>
      <w:r>
        <w:rPr>
          <w:rFonts w:hint="eastAsia" w:ascii="宋体" w:hAnsi="宋体"/>
          <w:sz w:val="24"/>
          <w:szCs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合同法》规定处理，同时扣除相应合同履约金。另外，将视具体情况，</w:t>
      </w:r>
      <w:r>
        <w:rPr>
          <w:rFonts w:hint="eastAsia" w:ascii="宋体" w:hAnsi="宋体"/>
          <w:sz w:val="24"/>
          <w:szCs w:val="24"/>
          <w:lang w:val="en-GB" w:eastAsia="zh-CN"/>
        </w:rPr>
        <w:t>限制</w:t>
      </w:r>
      <w:r>
        <w:rPr>
          <w:rFonts w:hint="eastAsia" w:ascii="宋体" w:hAnsi="宋体"/>
          <w:sz w:val="24"/>
          <w:szCs w:val="24"/>
          <w:lang w:val="en-GB"/>
        </w:rPr>
        <w:t>其参加在本校范围内6个月至3年的采购招投标活动。</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4.</w:t>
      </w:r>
      <w:r>
        <w:rPr>
          <w:rFonts w:hint="eastAsia" w:ascii="宋体" w:hAnsi="宋体"/>
          <w:sz w:val="24"/>
          <w:szCs w:val="24"/>
        </w:rPr>
        <w:t>中标人</w:t>
      </w:r>
      <w:r>
        <w:rPr>
          <w:rFonts w:hint="eastAsia" w:ascii="宋体" w:hAnsi="宋体"/>
          <w:sz w:val="24"/>
          <w:szCs w:val="24"/>
          <w:lang w:val="en-GB"/>
        </w:rPr>
        <w:t>如没有在合同规定的供货时限内交货并安装调试完成，招标人将向</w:t>
      </w:r>
      <w:r>
        <w:rPr>
          <w:rFonts w:hint="eastAsia" w:ascii="宋体" w:hAnsi="宋体"/>
          <w:sz w:val="24"/>
          <w:szCs w:val="24"/>
        </w:rPr>
        <w:t>中标人</w:t>
      </w:r>
      <w:r>
        <w:rPr>
          <w:rFonts w:hint="eastAsia" w:ascii="宋体" w:hAnsi="宋体"/>
          <w:sz w:val="24"/>
          <w:szCs w:val="24"/>
          <w:lang w:val="en-GB"/>
        </w:rPr>
        <w:t>发出书面违约通知并有权全部或部分终止合同，同时招标人由此造成的损失须由</w:t>
      </w:r>
      <w:r>
        <w:rPr>
          <w:rFonts w:hint="eastAsia" w:ascii="宋体" w:hAnsi="宋体"/>
          <w:sz w:val="24"/>
          <w:szCs w:val="24"/>
        </w:rPr>
        <w:t>中标人</w:t>
      </w:r>
      <w:r>
        <w:rPr>
          <w:rFonts w:hint="eastAsia" w:ascii="宋体" w:hAnsi="宋体"/>
          <w:sz w:val="24"/>
          <w:szCs w:val="24"/>
          <w:lang w:val="en-GB"/>
        </w:rPr>
        <w:t>负责赔偿。</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5.招标单位故意推迟项目验收时间的，与</w:t>
      </w:r>
      <w:r>
        <w:rPr>
          <w:rFonts w:hint="eastAsia" w:ascii="宋体" w:hAnsi="宋体"/>
          <w:sz w:val="24"/>
          <w:szCs w:val="24"/>
        </w:rPr>
        <w:t>中标人</w:t>
      </w:r>
      <w:r>
        <w:rPr>
          <w:rFonts w:hint="eastAsia" w:ascii="宋体" w:hAnsi="宋体"/>
          <w:sz w:val="24"/>
          <w:szCs w:val="24"/>
          <w:lang w:val="en-GB"/>
        </w:rPr>
        <w:t>串通或要求</w:t>
      </w:r>
      <w:r>
        <w:rPr>
          <w:rFonts w:hint="eastAsia" w:ascii="宋体" w:hAnsi="宋体"/>
          <w:sz w:val="24"/>
          <w:szCs w:val="24"/>
        </w:rPr>
        <w:t>中标人</w:t>
      </w:r>
      <w:r>
        <w:rPr>
          <w:rFonts w:hint="eastAsia" w:ascii="宋体" w:hAnsi="宋体"/>
          <w:sz w:val="24"/>
          <w:szCs w:val="24"/>
          <w:lang w:val="en-GB"/>
        </w:rPr>
        <w:t>通过减少货物数量或降低服务标准的，在履行合同中采取更改配置、调换物品等手段的，要求供应商出具虚假发票或任意更改销售发票的，谋取不正当利益的，承担相应的法律责任。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rPr>
        <w:t>6</w:t>
      </w:r>
      <w:r>
        <w:rPr>
          <w:rFonts w:hint="eastAsia" w:ascii="宋体" w:hAnsi="宋体"/>
          <w:sz w:val="24"/>
          <w:szCs w:val="24"/>
          <w:lang w:val="en-GB"/>
        </w:rPr>
        <w:t>.本项目的详细合同内容《合同文本》另行商定。</w:t>
      </w: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p>
    <w:p>
      <w:pPr>
        <w:pStyle w:val="15"/>
        <w:rPr>
          <w:rFonts w:hint="eastAsia" w:ascii="宋体" w:hAnsi="宋体"/>
          <w:b/>
          <w:sz w:val="40"/>
          <w:szCs w:val="21"/>
        </w:rPr>
      </w:pPr>
    </w:p>
    <w:p>
      <w:pPr>
        <w:pStyle w:val="15"/>
        <w:rPr>
          <w:rFonts w:hint="eastAsia" w:ascii="宋体" w:hAnsi="宋体"/>
          <w:b/>
          <w:sz w:val="40"/>
          <w:szCs w:val="21"/>
        </w:rPr>
      </w:pPr>
    </w:p>
    <w:p>
      <w:pPr>
        <w:pStyle w:val="15"/>
        <w:rPr>
          <w:rFonts w:hint="eastAsia" w:ascii="宋体" w:hAnsi="宋体"/>
          <w:b/>
          <w:sz w:val="40"/>
          <w:szCs w:val="21"/>
        </w:rPr>
      </w:pPr>
    </w:p>
    <w:p>
      <w:pPr>
        <w:pStyle w:val="15"/>
        <w:rPr>
          <w:rFonts w:hint="eastAsia" w:ascii="宋体" w:hAnsi="宋体"/>
          <w:b/>
          <w:sz w:val="40"/>
          <w:szCs w:val="21"/>
        </w:rPr>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line="420" w:lineRule="atLeast"/>
        <w:ind w:firstLine="472" w:firstLineChars="196"/>
        <w:rPr>
          <w:b/>
          <w:sz w:val="24"/>
        </w:rPr>
      </w:pPr>
      <w:r>
        <w:rPr>
          <w:b/>
          <w:sz w:val="24"/>
        </w:rPr>
        <w:t>1</w:t>
      </w:r>
      <w:r>
        <w:rPr>
          <w:rFonts w:hint="eastAsia"/>
          <w:b/>
          <w:sz w:val="24"/>
        </w:rPr>
        <w:t>.交货期</w:t>
      </w:r>
    </w:p>
    <w:p>
      <w:pPr>
        <w:spacing w:line="440" w:lineRule="exact"/>
        <w:ind w:firstLine="480" w:firstLineChars="200"/>
        <w:rPr>
          <w:rFonts w:hint="default" w:ascii="宋体" w:hAnsi="宋体"/>
          <w:sz w:val="24"/>
          <w:lang w:val="en-US" w:eastAsia="zh-CN"/>
        </w:rPr>
      </w:pPr>
      <w:r>
        <w:rPr>
          <w:rFonts w:hint="eastAsia" w:ascii="宋体" w:hAnsi="宋体"/>
          <w:sz w:val="24"/>
          <w:lang w:val="en-US" w:eastAsia="zh-CN"/>
        </w:rPr>
        <w:t>进场时间：2023年11月1日，完成时间2023年11月15日。</w:t>
      </w:r>
    </w:p>
    <w:p>
      <w:pPr>
        <w:spacing w:line="360" w:lineRule="exact"/>
        <w:ind w:left="10" w:firstLine="540" w:firstLineChars="225"/>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安装进度根据现场实际施工进度进行加工、安装</w:t>
      </w:r>
      <w:r>
        <w:rPr>
          <w:rFonts w:hint="eastAsia" w:ascii="Times New Roman" w:hAnsi="Times New Roman" w:eastAsia="宋体" w:cs="Times New Roman"/>
          <w:sz w:val="24"/>
          <w:lang w:eastAsia="zh-CN"/>
        </w:rPr>
        <w:t>（具体以甲方通知为准）</w:t>
      </w:r>
      <w:r>
        <w:rPr>
          <w:rFonts w:hint="eastAsia" w:ascii="Times New Roman" w:hAnsi="Times New Roman" w:eastAsia="宋体" w:cs="Times New Roman"/>
          <w:sz w:val="24"/>
        </w:rPr>
        <w:t>。</w:t>
      </w:r>
    </w:p>
    <w:p>
      <w:pPr>
        <w:spacing w:line="420" w:lineRule="atLeast"/>
        <w:ind w:firstLine="482" w:firstLineChars="200"/>
        <w:rPr>
          <w:b/>
          <w:sz w:val="24"/>
        </w:rPr>
      </w:pPr>
      <w:r>
        <w:rPr>
          <w:b/>
          <w:sz w:val="24"/>
        </w:rPr>
        <w:t>2</w:t>
      </w:r>
      <w:r>
        <w:rPr>
          <w:rFonts w:hint="eastAsia"/>
          <w:b/>
          <w:sz w:val="24"/>
        </w:rPr>
        <w:t>.交货地点</w:t>
      </w:r>
    </w:p>
    <w:p>
      <w:pPr>
        <w:spacing w:line="360" w:lineRule="exact"/>
        <w:ind w:left="10" w:firstLine="540" w:firstLineChars="225"/>
        <w:rPr>
          <w:sz w:val="24"/>
        </w:rPr>
      </w:pPr>
      <w:r>
        <w:rPr>
          <w:rFonts w:hint="eastAsia"/>
          <w:sz w:val="24"/>
        </w:rPr>
        <w:t>南通理工学院</w:t>
      </w:r>
      <w:r>
        <w:rPr>
          <w:rFonts w:hint="eastAsia"/>
          <w:sz w:val="24"/>
          <w:lang w:val="en-US" w:eastAsia="zh-CN"/>
        </w:rPr>
        <w:t>海安校区学生中心</w:t>
      </w:r>
      <w:r>
        <w:rPr>
          <w:rFonts w:hint="eastAsia"/>
          <w:sz w:val="24"/>
          <w:lang w:eastAsia="zh-CN"/>
        </w:rPr>
        <w:t>（</w:t>
      </w:r>
      <w:r>
        <w:rPr>
          <w:rFonts w:hint="eastAsia"/>
          <w:sz w:val="24"/>
        </w:rPr>
        <w:t>投标方指定位置）。</w:t>
      </w:r>
    </w:p>
    <w:p>
      <w:pPr>
        <w:ind w:firstLine="482" w:firstLineChars="200"/>
        <w:rPr>
          <w:b/>
          <w:sz w:val="24"/>
        </w:rPr>
      </w:pPr>
      <w:r>
        <w:rPr>
          <w:b/>
          <w:sz w:val="24"/>
        </w:rPr>
        <w:t>3</w:t>
      </w:r>
      <w:r>
        <w:rPr>
          <w:rFonts w:hint="eastAsia"/>
          <w:b/>
          <w:sz w:val="24"/>
        </w:rPr>
        <w:t>.质量要求</w:t>
      </w:r>
    </w:p>
    <w:p>
      <w:pPr>
        <w:spacing w:line="440" w:lineRule="exact"/>
        <w:ind w:firstLine="480" w:firstLineChars="200"/>
        <w:rPr>
          <w:rFonts w:hint="eastAsia" w:ascii="宋体" w:hAnsi="宋体"/>
          <w:sz w:val="24"/>
        </w:rPr>
      </w:pPr>
      <w:r>
        <w:rPr>
          <w:rFonts w:hint="eastAsia" w:ascii="宋体" w:hAnsi="宋体"/>
          <w:sz w:val="24"/>
        </w:rPr>
        <w:t>投标人所提供的货物，若技术性能无特殊说明，则按生产企业或国家有关部门最新颁布的标准及规范为准。投标人应保证货物是全新、未使用过的原装合格正品，并完全符合招标人在招标文件中对技术规格、参数、款式等的相关要求。</w:t>
      </w:r>
    </w:p>
    <w:p>
      <w:pPr>
        <w:spacing w:line="420" w:lineRule="atLeast"/>
        <w:ind w:firstLine="482" w:firstLineChars="200"/>
        <w:rPr>
          <w:b/>
          <w:sz w:val="24"/>
        </w:rPr>
      </w:pPr>
      <w:r>
        <w:rPr>
          <w:b/>
          <w:sz w:val="24"/>
        </w:rPr>
        <w:t>4</w:t>
      </w:r>
      <w:r>
        <w:rPr>
          <w:rFonts w:hint="eastAsia"/>
          <w:b/>
          <w:sz w:val="24"/>
        </w:rPr>
        <w:t>.付款方式</w:t>
      </w:r>
    </w:p>
    <w:p>
      <w:pPr>
        <w:pageBreakBefore w:val="0"/>
        <w:widowControl w:val="0"/>
        <w:kinsoku/>
        <w:wordWrap/>
        <w:overflowPunct/>
        <w:topLinePunct w:val="0"/>
        <w:autoSpaceDE/>
        <w:autoSpaceDN/>
        <w:bidi w:val="0"/>
        <w:adjustRightInd/>
        <w:spacing w:line="288" w:lineRule="auto"/>
        <w:ind w:firstLine="480" w:firstLineChars="200"/>
        <w:jc w:val="left"/>
        <w:textAlignment w:val="auto"/>
        <w:rPr>
          <w:rFonts w:hint="eastAsia"/>
          <w:color w:val="0000FF"/>
          <w:sz w:val="24"/>
        </w:rPr>
      </w:pPr>
      <w:r>
        <w:rPr>
          <w:rFonts w:hint="eastAsia"/>
          <w:color w:val="0000FF"/>
          <w:sz w:val="24"/>
        </w:rPr>
        <w:t>（1）</w:t>
      </w:r>
      <w:r>
        <w:rPr>
          <w:rFonts w:hint="eastAsia"/>
          <w:color w:val="0000FF"/>
          <w:sz w:val="24"/>
          <w:lang w:eastAsia="zh-CN"/>
        </w:rPr>
        <w:t>学校建议</w:t>
      </w:r>
      <w:r>
        <w:rPr>
          <w:rFonts w:hint="eastAsia"/>
          <w:color w:val="0000FF"/>
          <w:sz w:val="24"/>
        </w:rPr>
        <w:t>付款方式：</w:t>
      </w:r>
      <w:r>
        <w:rPr>
          <w:rFonts w:hint="eastAsia"/>
          <w:color w:val="0000FF"/>
          <w:sz w:val="24"/>
          <w:lang w:eastAsia="zh-CN"/>
        </w:rPr>
        <w:t>全部货物安装结束并</w:t>
      </w:r>
      <w:r>
        <w:rPr>
          <w:rFonts w:hint="eastAsia" w:ascii="Times New Roman" w:hAnsi="Times New Roman" w:eastAsia="宋体" w:cs="Times New Roman"/>
          <w:color w:val="0000FF"/>
          <w:sz w:val="24"/>
          <w:szCs w:val="24"/>
        </w:rPr>
        <w:t>验收合格</w:t>
      </w:r>
      <w:r>
        <w:rPr>
          <w:rFonts w:hint="eastAsia" w:cs="Times New Roman"/>
          <w:color w:val="0000FF"/>
          <w:sz w:val="24"/>
          <w:szCs w:val="24"/>
          <w:lang w:val="en-US" w:eastAsia="zh-CN"/>
        </w:rPr>
        <w:t>一个月</w:t>
      </w:r>
      <w:r>
        <w:rPr>
          <w:rFonts w:hint="eastAsia" w:ascii="Times New Roman" w:hAnsi="Times New Roman" w:eastAsia="宋体" w:cs="Times New Roman"/>
          <w:color w:val="0000FF"/>
          <w:sz w:val="24"/>
          <w:szCs w:val="24"/>
        </w:rPr>
        <w:t>后付至合同暂定价的</w:t>
      </w:r>
      <w:r>
        <w:rPr>
          <w:rFonts w:hint="eastAsia" w:cs="Times New Roman"/>
          <w:color w:val="0000FF"/>
          <w:sz w:val="24"/>
          <w:szCs w:val="24"/>
          <w:lang w:val="en-US" w:eastAsia="zh-CN"/>
        </w:rPr>
        <w:t>9</w:t>
      </w:r>
      <w:r>
        <w:rPr>
          <w:rFonts w:hint="eastAsia" w:ascii="Times New Roman" w:hAnsi="Times New Roman" w:eastAsia="宋体" w:cs="Times New Roman"/>
          <w:color w:val="0000FF"/>
          <w:sz w:val="24"/>
          <w:szCs w:val="24"/>
        </w:rPr>
        <w:t>0%；余下剩余</w:t>
      </w:r>
      <w:r>
        <w:rPr>
          <w:rFonts w:hint="eastAsia" w:cs="Times New Roman"/>
          <w:color w:val="0000FF"/>
          <w:sz w:val="24"/>
          <w:szCs w:val="24"/>
          <w:lang w:val="en-US" w:eastAsia="zh-CN"/>
        </w:rPr>
        <w:t>10</w:t>
      </w:r>
      <w:r>
        <w:rPr>
          <w:rFonts w:hint="eastAsia" w:ascii="Times New Roman" w:hAnsi="Times New Roman" w:eastAsia="宋体" w:cs="Times New Roman"/>
          <w:color w:val="0000FF"/>
          <w:sz w:val="24"/>
          <w:szCs w:val="24"/>
        </w:rPr>
        <w:t>%作为质量保修金，质量保修金不计息，</w:t>
      </w:r>
      <w:r>
        <w:rPr>
          <w:rFonts w:hint="eastAsia" w:ascii="Times New Roman" w:hAnsi="Times New Roman" w:eastAsia="宋体" w:cs="Times New Roman"/>
          <w:color w:val="0000FF"/>
          <w:sz w:val="24"/>
          <w:szCs w:val="24"/>
          <w:lang w:eastAsia="zh-CN"/>
        </w:rPr>
        <w:t>质保自验收合格日期起，满三</w:t>
      </w:r>
      <w:r>
        <w:rPr>
          <w:rFonts w:hint="eastAsia" w:ascii="Times New Roman" w:hAnsi="Times New Roman" w:eastAsia="宋体" w:cs="Times New Roman"/>
          <w:color w:val="0000FF"/>
          <w:sz w:val="24"/>
          <w:szCs w:val="24"/>
        </w:rPr>
        <w:t>年后30天内一次性支付清。</w:t>
      </w:r>
    </w:p>
    <w:p>
      <w:pPr>
        <w:spacing w:line="420" w:lineRule="atLeast"/>
        <w:ind w:firstLine="480" w:firstLineChars="200"/>
        <w:rPr>
          <w:sz w:val="24"/>
          <w:szCs w:val="22"/>
        </w:rPr>
      </w:pPr>
      <w:r>
        <w:rPr>
          <w:rFonts w:hint="eastAsia"/>
          <w:sz w:val="24"/>
        </w:rPr>
        <w:t>（2）</w:t>
      </w:r>
      <w:r>
        <w:rPr>
          <w:rFonts w:hint="eastAsia"/>
          <w:sz w:val="24"/>
          <w:szCs w:val="22"/>
        </w:rPr>
        <w:t>对以上付款方式有异议者，卖方在报价时可同时提出。</w:t>
      </w:r>
    </w:p>
    <w:p>
      <w:pPr>
        <w:spacing w:line="420" w:lineRule="atLeast"/>
        <w:ind w:firstLine="482" w:firstLineChars="200"/>
        <w:rPr>
          <w:b/>
          <w:sz w:val="24"/>
        </w:rPr>
      </w:pPr>
      <w:r>
        <w:rPr>
          <w:b/>
          <w:sz w:val="24"/>
        </w:rPr>
        <w:t>5</w:t>
      </w:r>
      <w:r>
        <w:rPr>
          <w:rFonts w:hint="eastAsia"/>
          <w:b/>
          <w:sz w:val="24"/>
        </w:rPr>
        <w:t>.履约保证金</w:t>
      </w:r>
    </w:p>
    <w:p>
      <w:pPr>
        <w:spacing w:line="440" w:lineRule="exact"/>
        <w:ind w:firstLine="480" w:firstLineChars="200"/>
        <w:rPr>
          <w:rFonts w:hint="eastAsia"/>
        </w:rPr>
      </w:pPr>
      <w:r>
        <w:rPr>
          <w:rFonts w:hint="eastAsia" w:ascii="宋体" w:hAnsi="宋体"/>
          <w:sz w:val="24"/>
        </w:rPr>
        <w:t>中标单位</w:t>
      </w:r>
      <w:r>
        <w:rPr>
          <w:rFonts w:hint="eastAsia" w:ascii="宋体" w:hAnsi="宋体"/>
          <w:sz w:val="24"/>
          <w:lang w:eastAsia="zh-CN"/>
        </w:rPr>
        <w:t>缴纳</w:t>
      </w:r>
      <w:r>
        <w:rPr>
          <w:rFonts w:hint="eastAsia" w:ascii="宋体" w:hAnsi="宋体"/>
          <w:sz w:val="24"/>
        </w:rPr>
        <w:t>的投标保证金则转为履约保证金，</w:t>
      </w:r>
      <w:r>
        <w:rPr>
          <w:rFonts w:hint="eastAsia" w:ascii="宋体" w:hAnsi="宋体"/>
          <w:sz w:val="24"/>
          <w:lang w:eastAsia="zh-CN"/>
        </w:rPr>
        <w:t>项目结束且验收合格后</w:t>
      </w:r>
      <w:r>
        <w:rPr>
          <w:rFonts w:hint="eastAsia" w:ascii="宋体" w:hAnsi="宋体"/>
          <w:sz w:val="24"/>
        </w:rPr>
        <w:t>，将等额无息退还。</w:t>
      </w:r>
    </w:p>
    <w:p>
      <w:pPr>
        <w:spacing w:line="420" w:lineRule="atLeast"/>
        <w:ind w:firstLine="482" w:firstLineChars="200"/>
        <w:rPr>
          <w:b/>
          <w:sz w:val="24"/>
        </w:rPr>
      </w:pPr>
      <w:r>
        <w:rPr>
          <w:rFonts w:hint="eastAsia"/>
          <w:b/>
          <w:sz w:val="24"/>
        </w:rPr>
        <w:t>6.质量保证期及售后服务</w:t>
      </w:r>
    </w:p>
    <w:p>
      <w:pPr>
        <w:spacing w:line="520" w:lineRule="exact"/>
        <w:ind w:firstLine="480" w:firstLineChars="200"/>
        <w:rPr>
          <w:rFonts w:hint="eastAsia" w:ascii="宋体" w:hAnsi="宋体"/>
          <w:sz w:val="24"/>
        </w:rPr>
      </w:pPr>
      <w:r>
        <w:rPr>
          <w:rFonts w:hint="eastAsia"/>
          <w:sz w:val="24"/>
        </w:rPr>
        <w:t>（</w:t>
      </w:r>
      <w:r>
        <w:rPr>
          <w:sz w:val="24"/>
        </w:rPr>
        <w:t>1</w:t>
      </w:r>
      <w:r>
        <w:rPr>
          <w:rFonts w:hint="eastAsia"/>
          <w:sz w:val="24"/>
        </w:rPr>
        <w:t>）免费质保</w:t>
      </w:r>
      <w:r>
        <w:rPr>
          <w:rFonts w:hint="eastAsia"/>
          <w:sz w:val="24"/>
          <w:lang w:val="en-US" w:eastAsia="zh-CN"/>
        </w:rPr>
        <w:t>5</w:t>
      </w:r>
      <w:r>
        <w:rPr>
          <w:rFonts w:hint="eastAsia"/>
          <w:sz w:val="24"/>
        </w:rPr>
        <w:t>年，</w:t>
      </w:r>
      <w:r>
        <w:rPr>
          <w:rFonts w:hint="eastAsia" w:asciiTheme="minorEastAsia" w:hAnsiTheme="minorEastAsia"/>
          <w:sz w:val="24"/>
          <w:szCs w:val="24"/>
        </w:rPr>
        <w:t>人为损坏除外。</w:t>
      </w:r>
    </w:p>
    <w:p>
      <w:pPr>
        <w:spacing w:line="420" w:lineRule="atLeast"/>
        <w:ind w:firstLine="480" w:firstLineChars="200"/>
        <w:rPr>
          <w:sz w:val="24"/>
        </w:rPr>
      </w:pPr>
      <w:r>
        <w:rPr>
          <w:rFonts w:hint="eastAsia"/>
          <w:sz w:val="24"/>
        </w:rPr>
        <w:t>（</w:t>
      </w:r>
      <w:r>
        <w:rPr>
          <w:sz w:val="24"/>
        </w:rPr>
        <w:t>2</w:t>
      </w:r>
      <w:r>
        <w:rPr>
          <w:rFonts w:hint="eastAsia"/>
          <w:sz w:val="24"/>
        </w:rPr>
        <w:t>）质保期内，因货物质量问题导致的各种故障的技术服务及维修所产生的一切费用由投标方负责承担；</w:t>
      </w:r>
      <w:r>
        <w:rPr>
          <w:sz w:val="24"/>
        </w:rPr>
        <w:t>保修期满后维修应只收成本费；终身维修。</w:t>
      </w:r>
    </w:p>
    <w:p>
      <w:pPr>
        <w:spacing w:line="420" w:lineRule="atLeast"/>
        <w:ind w:firstLine="480" w:firstLineChars="200"/>
        <w:rPr>
          <w:sz w:val="24"/>
        </w:rPr>
      </w:pPr>
      <w:r>
        <w:rPr>
          <w:rFonts w:hint="eastAsia"/>
          <w:sz w:val="24"/>
        </w:rPr>
        <w:t>（3）售后服务的其他条款。</w:t>
      </w:r>
    </w:p>
    <w:p>
      <w:pPr>
        <w:spacing w:line="420" w:lineRule="atLeast"/>
        <w:ind w:firstLine="482" w:firstLineChars="200"/>
        <w:rPr>
          <w:b/>
          <w:sz w:val="24"/>
        </w:rPr>
      </w:pPr>
      <w:bookmarkStart w:id="1" w:name="_Toc387403518"/>
      <w:r>
        <w:rPr>
          <w:rFonts w:hint="eastAsia"/>
          <w:b/>
          <w:sz w:val="24"/>
          <w:lang w:val="en-US" w:eastAsia="zh-CN"/>
        </w:rPr>
        <w:t>7</w:t>
      </w:r>
      <w:r>
        <w:rPr>
          <w:b/>
          <w:sz w:val="24"/>
        </w:rPr>
        <w:t>.</w:t>
      </w:r>
      <w:bookmarkEnd w:id="1"/>
      <w:r>
        <w:rPr>
          <w:rFonts w:hint="eastAsia"/>
          <w:b/>
          <w:sz w:val="24"/>
        </w:rPr>
        <w:t>验收标准</w:t>
      </w:r>
    </w:p>
    <w:p>
      <w:pPr>
        <w:pStyle w:val="10"/>
        <w:keepNext w:val="0"/>
        <w:keepLines w:val="0"/>
        <w:widowControl/>
        <w:suppressLineNumbers w:val="0"/>
        <w:spacing w:before="0" w:beforeAutospacing="0" w:after="0" w:afterAutospacing="0"/>
        <w:ind w:left="0" w:right="0" w:firstLine="480" w:firstLineChars="200"/>
      </w:pPr>
      <w:r>
        <w:t>1、采购人应依据约定的质量标准进行验收。产品质量不符合约定标准的，采购人有权要求中标人更换货物或拒绝付款，重新供货，或要求退货，由此造成的损失由中标人承担。中标人若违约，采购人将依法追究相应法律责任。</w:t>
      </w:r>
    </w:p>
    <w:p>
      <w:pPr>
        <w:pStyle w:val="10"/>
        <w:keepNext w:val="0"/>
        <w:keepLines w:val="0"/>
        <w:widowControl/>
        <w:suppressLineNumbers w:val="0"/>
        <w:spacing w:before="0" w:beforeAutospacing="0" w:after="0" w:afterAutospacing="0"/>
        <w:ind w:left="0" w:right="0" w:firstLine="480" w:firstLineChars="200"/>
      </w:pPr>
      <w:r>
        <w:t>2、中标人不能在规定的时间内完成生产的，按照合同总金额的2%计算，支付采购人违约金；对不能在规定的时间完成安装调试的，每延误一天，则按合同总金额的1%计算，支付采购人违约金。</w:t>
      </w:r>
    </w:p>
    <w:p>
      <w:pPr>
        <w:pStyle w:val="10"/>
        <w:keepNext w:val="0"/>
        <w:keepLines w:val="0"/>
        <w:widowControl/>
        <w:suppressLineNumbers w:val="0"/>
        <w:spacing w:before="0" w:beforeAutospacing="0" w:after="0" w:afterAutospacing="0"/>
        <w:ind w:left="0" w:right="0" w:firstLine="480" w:firstLineChars="200"/>
      </w:pPr>
      <w:r>
        <w:t>3、若中标人未按约定提供质保服务，采购人有权自行委托第三方提供采购人所需要的技术支持和售后服务，所发生的费用由中标人承担，如因此造成采购人损失的，中标人应承担赔偿责任。</w:t>
      </w:r>
    </w:p>
    <w:p>
      <w:pPr>
        <w:pStyle w:val="10"/>
        <w:keepNext w:val="0"/>
        <w:keepLines w:val="0"/>
        <w:widowControl/>
        <w:suppressLineNumbers w:val="0"/>
        <w:spacing w:before="0" w:beforeAutospacing="0" w:after="0" w:afterAutospacing="0"/>
        <w:ind w:left="0" w:right="0" w:firstLine="0"/>
        <w:rPr>
          <w:rFonts w:hint="default" w:eastAsia="宋体"/>
          <w:lang w:val="en-US" w:eastAsia="zh-CN"/>
        </w:rPr>
      </w:pPr>
      <w:r>
        <w:rPr>
          <w:rFonts w:hint="eastAsia"/>
          <w:lang w:val="en-US" w:eastAsia="zh-CN"/>
        </w:rPr>
        <w:t xml:space="preserve">    </w:t>
      </w:r>
      <w:r>
        <w:rPr>
          <w:rFonts w:hint="eastAsia" w:cs="Times New Roman"/>
          <w:lang w:val="en-US" w:eastAsia="zh-CN"/>
        </w:rPr>
        <w:t>4、货物</w:t>
      </w:r>
      <w:r>
        <w:rPr>
          <w:rFonts w:hint="eastAsia" w:ascii="宋体" w:hAnsi="宋体"/>
          <w:sz w:val="24"/>
        </w:rPr>
        <w:t>应与招标文件规定的规格技术参数及招标人确认的样品一致</w:t>
      </w:r>
      <w:r>
        <w:rPr>
          <w:rFonts w:ascii="宋体" w:hAnsi="宋体"/>
          <w:sz w:val="24"/>
        </w:rPr>
        <w:t>。</w:t>
      </w:r>
    </w:p>
    <w:p>
      <w:pPr>
        <w:spacing w:line="440" w:lineRule="exact"/>
        <w:ind w:firstLine="480" w:firstLineChars="200"/>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 xml:space="preserve">5、验收按国家有关的规定、规范进行。验收时如发现交付的货物有短缺、次品、损坏或其他不符合本合同规定之情形者，采购人应做出详尽的现场记录，或由采购人和中标人双方签署备忘录。此现场记录或备忘录可用作补充、缺失和更换损坏部件的有效证据。由此产生的有关费用由中标人承担。 </w:t>
      </w:r>
    </w:p>
    <w:p>
      <w:pPr>
        <w:spacing w:line="440" w:lineRule="exact"/>
        <w:ind w:firstLine="480" w:firstLineChars="200"/>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6、如果合同货物运输和安装调试过程中因事故造成货物短缺、损坏，中标人应及时安排换货，以保证合同货物成功完整交付。换货的相关费用由中标人承担。</w:t>
      </w:r>
    </w:p>
    <w:p>
      <w:pPr>
        <w:spacing w:line="440" w:lineRule="exact"/>
        <w:ind w:firstLine="480" w:firstLineChars="200"/>
        <w:rPr>
          <w:rFonts w:hint="default"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7、要求对全部设备、产品、型号、规格、数量、外形、外观、包装及资料、文件（如装箱单、保修单、随箱介质等）的验收。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产品质量保证：中标人须保证所提供产品具有合法的版权或使用权，本项目采购的产品，如在本项目范围内使用过程中出现版权或使用权纠纷，应由中标人负责，招标人不承担责任。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8．要求对项目提供7x24小时的实时技术支持响应服务，维修响应时间＜2小时，解决故障时间24小时内，或提供代用件。保修期内如同一故障发生三次，或在一个月内无法修复，中标人无条件换货。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w:t>
      </w:r>
      <w:r>
        <w:rPr>
          <w:rFonts w:hint="eastAsia" w:ascii="宋体" w:hAnsi="宋体" w:cs="宋体"/>
          <w:sz w:val="24"/>
          <w:szCs w:val="24"/>
          <w:lang w:val="en-US" w:eastAsia="zh-CN"/>
        </w:rPr>
        <w:t>上楼费、安装调试费用、</w:t>
      </w:r>
      <w:r>
        <w:rPr>
          <w:rFonts w:hint="eastAsia" w:ascii="宋体" w:hAnsi="宋体" w:eastAsia="宋体" w:cs="宋体"/>
          <w:sz w:val="24"/>
          <w:szCs w:val="24"/>
        </w:rPr>
        <w:t>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pStyle w:val="15"/>
        <w:rPr>
          <w:rFonts w:hint="eastAsia" w:ascii="宋体" w:hAnsi="宋体" w:cs="宋体"/>
          <w:sz w:val="24"/>
          <w:szCs w:val="24"/>
        </w:rPr>
      </w:pPr>
    </w:p>
    <w:p>
      <w:pPr>
        <w:jc w:val="center"/>
        <w:rPr>
          <w:b/>
          <w:sz w:val="32"/>
          <w:szCs w:val="32"/>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eastAsia"/>
          <w:b/>
          <w:sz w:val="32"/>
          <w:szCs w:val="32"/>
          <w:lang w:val="en-US" w:eastAsia="zh-CN"/>
        </w:rPr>
      </w:pPr>
    </w:p>
    <w:p>
      <w:pPr>
        <w:pStyle w:val="15"/>
        <w:jc w:val="center"/>
        <w:rPr>
          <w:rFonts w:hint="default" w:eastAsia="宋体"/>
          <w:b/>
          <w:sz w:val="32"/>
          <w:szCs w:val="32"/>
          <w:lang w:val="en-US" w:eastAsia="zh-CN"/>
        </w:rPr>
      </w:pPr>
      <w:r>
        <w:rPr>
          <w:rFonts w:hint="eastAsia"/>
          <w:b/>
          <w:sz w:val="32"/>
          <w:szCs w:val="32"/>
          <w:lang w:val="en-US" w:eastAsia="zh-CN"/>
        </w:rPr>
        <w:t>技术参数要求</w:t>
      </w:r>
    </w:p>
    <w:p>
      <w:pPr>
        <w:numPr>
          <w:ilvl w:val="0"/>
          <w:numId w:val="0"/>
        </w:numPr>
        <w:jc w:val="left"/>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一、采购数量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海安校区学生中心大礼堂礼堂椅：1607座（中心距550mm）；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海安校区学生中心报告厅礼堂椅：420座（中心距570mm）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最终金额以实际供货数量结算。产品必须满足招标人要求的各项技术参数，且与招标人确认的样品一致。</w:t>
      </w:r>
      <w:r>
        <w:rPr>
          <w:rFonts w:hint="eastAsia" w:ascii="宋体" w:hAnsi="宋体" w:cs="宋体"/>
          <w:b/>
          <w:bCs/>
          <w:kern w:val="2"/>
          <w:sz w:val="24"/>
          <w:szCs w:val="24"/>
          <w:lang w:val="en-US" w:eastAsia="zh-CN" w:bidi="ar-SA"/>
        </w:rPr>
        <w:t>（中标单位根据现场确定最终礼堂椅的摆放数量，大礼堂需保证1600人位）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技术参数及规格</w:t>
      </w:r>
      <w:r>
        <w:rPr>
          <w:rFonts w:hint="eastAsia" w:ascii="宋体" w:hAnsi="宋体" w:cs="宋体"/>
          <w:color w:val="0000FF"/>
          <w:kern w:val="2"/>
          <w:sz w:val="24"/>
          <w:szCs w:val="24"/>
          <w:lang w:val="en-US" w:eastAsia="zh-CN" w:bidi="ar-SA"/>
        </w:rPr>
        <w:t>（投标单位送样椅时可提供多款面料颜色供甲方选择）</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大礼堂座椅：中心距550mm，排间距900mm；不带写字板，座椅前方或后方有杯托。</w:t>
      </w:r>
      <w:r>
        <w:rPr>
          <w:rFonts w:hint="eastAsia" w:ascii="宋体" w:hAnsi="宋体" w:cs="宋体"/>
          <w:b/>
          <w:bCs/>
          <w:kern w:val="2"/>
          <w:sz w:val="24"/>
          <w:szCs w:val="24"/>
          <w:lang w:val="en-US" w:eastAsia="zh-CN" w:bidi="ar-SA"/>
        </w:rPr>
        <w:t>坐垫及靠背颜色为紫色。</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报告厅座椅：中心距570mm，</w:t>
      </w:r>
      <w:r>
        <w:rPr>
          <w:rFonts w:hint="eastAsia" w:ascii="宋体" w:hAnsi="宋体" w:eastAsia="宋体" w:cs="宋体"/>
          <w:b/>
          <w:bCs/>
          <w:kern w:val="2"/>
          <w:sz w:val="24"/>
          <w:szCs w:val="24"/>
          <w:lang w:val="en-US" w:eastAsia="zh-CN" w:bidi="ar-SA"/>
        </w:rPr>
        <w:t>排间距900mm；不带写字板，</w:t>
      </w:r>
      <w:r>
        <w:rPr>
          <w:rFonts w:hint="eastAsia" w:ascii="宋体" w:hAnsi="宋体" w:cs="宋体"/>
          <w:b/>
          <w:bCs/>
          <w:kern w:val="2"/>
          <w:sz w:val="24"/>
          <w:szCs w:val="24"/>
          <w:lang w:val="en-US" w:eastAsia="zh-CN" w:bidi="ar-SA"/>
        </w:rPr>
        <w:t>材质及款式与大礼堂座椅一致，颜色可不一样。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1、座、背海绵：采用铝合金模具，用优质PU发泡</w:t>
      </w:r>
      <w:r>
        <w:rPr>
          <w:rFonts w:hint="eastAsia" w:ascii="宋体" w:hAnsi="宋体" w:cs="宋体"/>
          <w:kern w:val="2"/>
          <w:sz w:val="24"/>
          <w:szCs w:val="24"/>
          <w:lang w:val="en-US" w:eastAsia="zh-CN" w:bidi="ar-SA"/>
        </w:rPr>
        <w:t>材料</w:t>
      </w:r>
      <w:r>
        <w:rPr>
          <w:rFonts w:hint="eastAsia" w:ascii="宋体" w:hAnsi="宋体" w:eastAsia="宋体" w:cs="宋体"/>
          <w:kern w:val="2"/>
          <w:sz w:val="24"/>
          <w:szCs w:val="24"/>
          <w:lang w:val="en-US" w:eastAsia="zh-CN" w:bidi="ar-SA"/>
        </w:rPr>
        <w:t>进行高密度冷发泡定型，</w:t>
      </w:r>
      <w:r>
        <w:rPr>
          <w:rFonts w:hint="eastAsia" w:ascii="宋体" w:hAnsi="宋体" w:cs="宋体"/>
          <w:kern w:val="2"/>
          <w:sz w:val="24"/>
          <w:szCs w:val="24"/>
          <w:lang w:val="en-US" w:eastAsia="zh-CN" w:bidi="ar-SA"/>
        </w:rPr>
        <w:t>座椅</w:t>
      </w:r>
      <w:r>
        <w:rPr>
          <w:rFonts w:hint="eastAsia" w:ascii="宋体" w:hAnsi="宋体" w:eastAsia="宋体" w:cs="宋体"/>
          <w:kern w:val="2"/>
          <w:sz w:val="24"/>
          <w:szCs w:val="24"/>
          <w:lang w:val="en-US" w:eastAsia="zh-CN" w:bidi="ar-SA"/>
        </w:rPr>
        <w:t>海绵密度为55</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60KG/M3，靠背海绵密度为45</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50KG/M3，具有保温、隔热、吸音、减震、防静电、透气性能好等特性。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2、座、背内板：座、背加厚内板，厚度为10mm，使用寿命更长。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3、座、背外板：采用优质多层板经模具冷压成型，再经修边、打磨、底油密封和精致环保面漆， 厚度不低于15mm，根据需要可选择颜色。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4、座椅回复：采用弹簧加钢架回复结构，或是自重回位，或是座内采用独有技术，扭簧与阻尼器（慢回位）装置，采用橡胶垫防撞降噪使噪音低至A声级（≤30dB），</w:t>
      </w:r>
      <w:r>
        <w:rPr>
          <w:rFonts w:hint="eastAsia" w:ascii="宋体" w:hAnsi="宋体" w:cs="宋体"/>
          <w:kern w:val="2"/>
          <w:sz w:val="24"/>
          <w:szCs w:val="24"/>
          <w:lang w:val="en-US" w:eastAsia="zh-CN" w:bidi="ar-SA"/>
        </w:rPr>
        <w:t>恢复缓慢</w:t>
      </w:r>
      <w:r>
        <w:rPr>
          <w:rFonts w:hint="eastAsia" w:ascii="宋体" w:hAnsi="宋体" w:eastAsia="宋体" w:cs="宋体"/>
          <w:kern w:val="2"/>
          <w:sz w:val="24"/>
          <w:szCs w:val="24"/>
          <w:lang w:val="en-US" w:eastAsia="zh-CN" w:bidi="ar-SA"/>
        </w:rPr>
        <w:t>无冲击性撞击，回位轻盈，持久耐用，</w:t>
      </w:r>
      <w:r>
        <w:rPr>
          <w:rFonts w:hint="eastAsia" w:ascii="宋体" w:hAnsi="宋体" w:cs="宋体"/>
          <w:kern w:val="2"/>
          <w:sz w:val="24"/>
          <w:szCs w:val="24"/>
          <w:lang w:val="en-US" w:eastAsia="zh-CN" w:bidi="ar-SA"/>
        </w:rPr>
        <w:t>无噪声</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5、座框架：采用优质冷轧钢板（厚度为1.5mm</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经磨具冲压焊接成型，喷塑表面处理。（无故障永不变形）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6、扶手板：采用实木，仿形制作，板面经六次以上喷油、打磨，油漆采用国家标准GB18581-2009透原木纹高硬高度</w:t>
      </w:r>
      <w:r>
        <w:rPr>
          <w:rFonts w:hint="eastAsia" w:ascii="宋体" w:hAnsi="宋体" w:cs="宋体"/>
          <w:kern w:val="2"/>
          <w:sz w:val="24"/>
          <w:szCs w:val="24"/>
          <w:lang w:val="en-US" w:eastAsia="zh-CN" w:bidi="ar-SA"/>
        </w:rPr>
        <w:t>聚酯</w:t>
      </w:r>
      <w:r>
        <w:rPr>
          <w:rFonts w:hint="eastAsia" w:ascii="宋体" w:hAnsi="宋体" w:eastAsia="宋体" w:cs="宋体"/>
          <w:kern w:val="2"/>
          <w:sz w:val="24"/>
          <w:szCs w:val="24"/>
          <w:lang w:val="en-US" w:eastAsia="zh-CN" w:bidi="ar-SA"/>
        </w:rPr>
        <w:t>环保漆。美观耐用，根据需要可选择颜色。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7、面料：面料采用高级专用布料，抗污，防褪色。可根据客户要求做阻燃处理。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8、侧板：采用外扣式侧板设计，外敷海绵和扪布，触感柔和舒适。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9、站脚：采用优质铝合金经模具压铸一体成型，</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压铸铝合金GB/T15115-2009检验要求</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无</w:t>
      </w:r>
      <w:r>
        <w:rPr>
          <w:rFonts w:hint="eastAsia" w:ascii="宋体" w:hAnsi="宋体" w:cs="宋体"/>
          <w:kern w:val="2"/>
          <w:sz w:val="24"/>
          <w:szCs w:val="24"/>
          <w:lang w:val="en-US" w:eastAsia="zh-CN" w:bidi="ar-SA"/>
        </w:rPr>
        <w:t>毛刺</w:t>
      </w:r>
      <w:r>
        <w:rPr>
          <w:rFonts w:hint="eastAsia" w:ascii="宋体" w:hAnsi="宋体" w:eastAsia="宋体" w:cs="宋体"/>
          <w:kern w:val="2"/>
          <w:sz w:val="24"/>
          <w:szCs w:val="24"/>
          <w:lang w:val="en-US" w:eastAsia="zh-CN" w:bidi="ar-SA"/>
        </w:rPr>
        <w:t>，无焊接，表面作防氧化处理后经高温喷涂处理附着力强，抗冲击、耐腐蚀、不生锈、不褪色、经久耐用</w:t>
      </w:r>
      <w:r>
        <w:rPr>
          <w:rFonts w:hint="eastAsia" w:ascii="宋体" w:hAnsi="宋体" w:cs="宋体"/>
          <w:kern w:val="2"/>
          <w:sz w:val="24"/>
          <w:szCs w:val="24"/>
          <w:lang w:val="en-US" w:eastAsia="zh-CN" w:bidi="ar-SA"/>
        </w:rPr>
        <w:t>。</w:t>
      </w:r>
    </w:p>
    <w:p>
      <w:pPr>
        <w:pStyle w:val="15"/>
        <w:tabs>
          <w:tab w:val="left" w:pos="630"/>
        </w:tabs>
        <w:ind w:left="17" w:leftChars="0" w:hanging="17" w:hangingChars="8"/>
        <w:rPr>
          <w:rFonts w:ascii="宋体" w:hAnsi="宋体" w:cs="宋体"/>
          <w:sz w:val="24"/>
          <w:szCs w:val="24"/>
        </w:rPr>
      </w:pPr>
      <w:r>
        <w:drawing>
          <wp:inline distT="0" distB="0" distL="114300" distR="114300">
            <wp:extent cx="5612130" cy="6496685"/>
            <wp:effectExtent l="0" t="0" r="762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612130" cy="6496685"/>
                    </a:xfrm>
                    <a:prstGeom prst="rect">
                      <a:avLst/>
                    </a:prstGeom>
                    <a:noFill/>
                    <a:ln>
                      <a:noFill/>
                    </a:ln>
                  </pic:spPr>
                </pic:pic>
              </a:graphicData>
            </a:graphic>
          </wp:inline>
        </w:drawing>
      </w:r>
    </w:p>
    <w:p>
      <w:pPr>
        <w:pStyle w:val="15"/>
        <w:rPr>
          <w:rFonts w:ascii="宋体" w:hAnsi="宋体" w:cs="宋体"/>
          <w:sz w:val="24"/>
          <w:szCs w:val="24"/>
        </w:rPr>
      </w:pPr>
    </w:p>
    <w:p>
      <w:pPr>
        <w:pStyle w:val="15"/>
        <w:rPr>
          <w:rFonts w:ascii="宋体" w:hAnsi="宋体" w:cs="宋体"/>
          <w:sz w:val="24"/>
          <w:szCs w:val="24"/>
        </w:rPr>
      </w:pPr>
    </w:p>
    <w:p>
      <w:pPr>
        <w:pStyle w:val="15"/>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大礼堂一楼</w:t>
      </w:r>
    </w:p>
    <w:p>
      <w:pPr>
        <w:pStyle w:val="15"/>
        <w:ind w:left="0" w:leftChars="0" w:firstLine="0" w:firstLineChars="0"/>
        <w:rPr>
          <w:rFonts w:ascii="宋体" w:hAnsi="宋体" w:cs="宋体"/>
          <w:sz w:val="24"/>
          <w:szCs w:val="24"/>
        </w:rPr>
      </w:pPr>
      <w:r>
        <w:drawing>
          <wp:inline distT="0" distB="0" distL="114300" distR="114300">
            <wp:extent cx="5611495" cy="3482975"/>
            <wp:effectExtent l="0" t="0" r="8255"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611495" cy="3482975"/>
                    </a:xfrm>
                    <a:prstGeom prst="rect">
                      <a:avLst/>
                    </a:prstGeom>
                    <a:noFill/>
                    <a:ln>
                      <a:noFill/>
                    </a:ln>
                  </pic:spPr>
                </pic:pic>
              </a:graphicData>
            </a:graphic>
          </wp:inline>
        </w:drawing>
      </w:r>
    </w:p>
    <w:p>
      <w:pPr>
        <w:pStyle w:val="15"/>
        <w:rPr>
          <w:rFonts w:ascii="宋体" w:hAnsi="宋体" w:cs="宋体"/>
          <w:sz w:val="24"/>
          <w:szCs w:val="24"/>
        </w:rPr>
      </w:pPr>
    </w:p>
    <w:p>
      <w:pPr>
        <w:pStyle w:val="15"/>
        <w:ind w:left="0" w:leftChars="0" w:firstLine="0" w:firstLineChars="0"/>
        <w:rPr>
          <w:rFonts w:ascii="宋体" w:hAnsi="宋体" w:cs="宋体"/>
          <w:sz w:val="24"/>
          <w:szCs w:val="24"/>
        </w:rPr>
      </w:pPr>
    </w:p>
    <w:p>
      <w:pPr>
        <w:pStyle w:val="15"/>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大礼堂二楼</w:t>
      </w: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ind w:left="0" w:leftChars="0" w:firstLine="0" w:firstLineChars="0"/>
        <w:rPr>
          <w:rFonts w:ascii="宋体" w:hAnsi="宋体" w:cs="宋体"/>
          <w:sz w:val="24"/>
          <w:szCs w:val="24"/>
        </w:rPr>
      </w:pPr>
      <w:r>
        <w:drawing>
          <wp:inline distT="0" distB="0" distL="114300" distR="114300">
            <wp:extent cx="5613400" cy="6706870"/>
            <wp:effectExtent l="0" t="0" r="6350" b="177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613400" cy="6706870"/>
                    </a:xfrm>
                    <a:prstGeom prst="rect">
                      <a:avLst/>
                    </a:prstGeom>
                    <a:noFill/>
                    <a:ln>
                      <a:noFill/>
                    </a:ln>
                  </pic:spPr>
                </pic:pic>
              </a:graphicData>
            </a:graphic>
          </wp:inline>
        </w:drawing>
      </w:r>
    </w:p>
    <w:p>
      <w:pPr>
        <w:pStyle w:val="15"/>
        <w:rPr>
          <w:rFonts w:ascii="宋体" w:hAnsi="宋体" w:cs="宋体"/>
          <w:sz w:val="24"/>
          <w:szCs w:val="24"/>
        </w:rPr>
      </w:pPr>
    </w:p>
    <w:p>
      <w:pPr>
        <w:pStyle w:val="15"/>
        <w:rPr>
          <w:rFonts w:ascii="宋体" w:hAnsi="宋体" w:cs="宋体"/>
          <w:sz w:val="24"/>
          <w:szCs w:val="24"/>
        </w:rPr>
      </w:pPr>
    </w:p>
    <w:p>
      <w:pPr>
        <w:pStyle w:val="1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报告厅</w:t>
      </w: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spacing w:line="300" w:lineRule="auto"/>
        <w:jc w:val="center"/>
        <w:rPr>
          <w:rFonts w:hint="eastAsia" w:ascii="宋体" w:hAnsi="宋体" w:cs="Times New Roman"/>
          <w:b/>
          <w:spacing w:val="4"/>
          <w:sz w:val="44"/>
          <w:szCs w:val="44"/>
        </w:rPr>
        <w:sectPr>
          <w:footerReference r:id="rId5" w:type="first"/>
          <w:footerReference r:id="rId3" w:type="default"/>
          <w:footerReference r:id="rId4" w:type="even"/>
          <w:pgSz w:w="11906" w:h="16838"/>
          <w:pgMar w:top="1440" w:right="1418" w:bottom="1440" w:left="1644"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礼堂椅参考规格：</w:t>
      </w:r>
    </w:p>
    <w:p>
      <w:pPr>
        <w:pStyle w:val="15"/>
      </w:pPr>
      <w:r>
        <w:drawing>
          <wp:inline distT="0" distB="0" distL="114300" distR="114300">
            <wp:extent cx="1821180" cy="1420495"/>
            <wp:effectExtent l="0" t="0" r="7620"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1821180" cy="1420495"/>
                    </a:xfrm>
                    <a:prstGeom prst="rect">
                      <a:avLst/>
                    </a:prstGeom>
                    <a:noFill/>
                    <a:ln>
                      <a:noFill/>
                    </a:ln>
                  </pic:spPr>
                </pic:pic>
              </a:graphicData>
            </a:graphic>
          </wp:inline>
        </w:drawing>
      </w:r>
    </w:p>
    <w:p>
      <w:pPr>
        <w:pStyle w:val="15"/>
      </w:pPr>
      <w:r>
        <w:drawing>
          <wp:inline distT="0" distB="0" distL="114300" distR="114300">
            <wp:extent cx="3373755" cy="1451610"/>
            <wp:effectExtent l="0" t="0" r="17145" b="1524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
                    <a:stretch>
                      <a:fillRect/>
                    </a:stretch>
                  </pic:blipFill>
                  <pic:spPr>
                    <a:xfrm>
                      <a:off x="0" y="0"/>
                      <a:ext cx="3373755" cy="1451610"/>
                    </a:xfrm>
                    <a:prstGeom prst="rect">
                      <a:avLst/>
                    </a:prstGeom>
                    <a:noFill/>
                    <a:ln>
                      <a:noFill/>
                    </a:ln>
                  </pic:spPr>
                </pic:pic>
              </a:graphicData>
            </a:graphic>
          </wp:inline>
        </w:drawing>
      </w:r>
    </w:p>
    <w:p>
      <w:pPr>
        <w:pStyle w:val="15"/>
      </w:pPr>
    </w:p>
    <w:p>
      <w:pPr>
        <w:pStyle w:val="15"/>
        <w:ind w:left="0" w:leftChars="0" w:firstLine="0" w:firstLineChars="0"/>
        <w:rPr>
          <w:rFonts w:hint="eastAsia"/>
          <w:sz w:val="24"/>
          <w:szCs w:val="24"/>
          <w:lang w:val="en-US" w:eastAsia="zh-CN"/>
        </w:rPr>
      </w:pPr>
      <w:r>
        <w:rPr>
          <w:rFonts w:hint="eastAsia"/>
          <w:sz w:val="24"/>
          <w:szCs w:val="24"/>
          <w:lang w:val="en-US" w:eastAsia="zh-CN"/>
        </w:rPr>
        <w:t>注：靠背总高度可根据礼堂椅款式不同有所不同，但不得低于1米；</w:t>
      </w:r>
    </w:p>
    <w:p>
      <w:pPr>
        <w:pStyle w:val="15"/>
        <w:ind w:left="0" w:leftChars="0" w:firstLine="0" w:firstLineChars="0"/>
        <w:rPr>
          <w:rFonts w:hint="default"/>
          <w:sz w:val="24"/>
          <w:szCs w:val="24"/>
          <w:lang w:val="en-US" w:eastAsia="zh-CN"/>
        </w:rPr>
      </w:pPr>
      <w:r>
        <w:rPr>
          <w:rFonts w:hint="eastAsia"/>
          <w:sz w:val="24"/>
          <w:szCs w:val="24"/>
          <w:lang w:val="en-US" w:eastAsia="zh-CN"/>
        </w:rPr>
        <w:t xml:space="preserve">    坐高、坐深、扶手高度、宽度及扶手长度等需符合人体工程学尺寸，投标单位可根据产品做对应微调。</w:t>
      </w:r>
      <w:r>
        <w:rPr>
          <w:rFonts w:hint="eastAsia"/>
          <w:b/>
          <w:bCs/>
          <w:sz w:val="24"/>
          <w:szCs w:val="24"/>
          <w:lang w:val="en-US" w:eastAsia="zh-CN"/>
        </w:rPr>
        <w:t>扶手造型仅供参考。</w:t>
      </w:r>
    </w:p>
    <w:p>
      <w:pPr>
        <w:spacing w:line="300" w:lineRule="auto"/>
        <w:jc w:val="center"/>
        <w:rPr>
          <w:rFonts w:hint="eastAsia" w:ascii="宋体" w:hAnsi="宋体" w:cs="Times New Roman"/>
          <w:b/>
          <w:spacing w:val="4"/>
          <w:sz w:val="24"/>
          <w:szCs w:val="24"/>
        </w:rPr>
        <w:sectPr>
          <w:pgSz w:w="11906" w:h="16838"/>
          <w:pgMar w:top="1440" w:right="1418" w:bottom="1440" w:left="1644" w:header="851" w:footer="992" w:gutter="0"/>
          <w:pgNumType w:fmt="decimal"/>
          <w:cols w:space="720" w:num="1"/>
          <w:titlePg/>
          <w:docGrid w:type="lines" w:linePitch="312" w:charSpace="0"/>
        </w:sectPr>
      </w:pPr>
    </w:p>
    <w:p>
      <w:pPr>
        <w:spacing w:line="300" w:lineRule="auto"/>
        <w:jc w:val="center"/>
        <w:rPr>
          <w:rFonts w:hint="eastAsia" w:ascii="宋体" w:hAnsi="宋体" w:cs="Times New Roman"/>
          <w:b/>
          <w:spacing w:val="4"/>
          <w:sz w:val="44"/>
          <w:szCs w:val="44"/>
        </w:rPr>
      </w:pPr>
      <w:r>
        <w:rPr>
          <w:rFonts w:hint="eastAsia" w:ascii="宋体" w:hAnsi="宋体" w:cs="Times New Roman"/>
          <w:b/>
          <w:spacing w:val="4"/>
          <w:sz w:val="44"/>
          <w:szCs w:val="44"/>
        </w:rPr>
        <w:t>第</w:t>
      </w:r>
      <w:r>
        <w:rPr>
          <w:rFonts w:hint="eastAsia" w:ascii="宋体" w:hAnsi="宋体" w:cs="Times New Roman"/>
          <w:b/>
          <w:spacing w:val="4"/>
          <w:sz w:val="44"/>
          <w:szCs w:val="44"/>
          <w:lang w:val="en-US" w:eastAsia="zh-CN"/>
        </w:rPr>
        <w:t>五</w:t>
      </w:r>
      <w:r>
        <w:rPr>
          <w:rFonts w:hint="eastAsia" w:ascii="宋体" w:hAnsi="宋体" w:cs="Times New Roman"/>
          <w:b/>
          <w:spacing w:val="4"/>
          <w:sz w:val="44"/>
          <w:szCs w:val="44"/>
        </w:rPr>
        <w:t>部分  附  件</w:t>
      </w:r>
    </w:p>
    <w:p>
      <w:pPr>
        <w:spacing w:line="360" w:lineRule="auto"/>
        <w:outlineLvl w:val="0"/>
        <w:rPr>
          <w:rFonts w:hint="eastAsia" w:ascii="宋体" w:hAnsi="宋体"/>
          <w:color w:val="000000"/>
          <w:spacing w:val="4"/>
          <w:sz w:val="24"/>
        </w:rPr>
      </w:pPr>
      <w:bookmarkStart w:id="2" w:name="_Toc25711"/>
    </w:p>
    <w:p>
      <w:pPr>
        <w:spacing w:line="360" w:lineRule="auto"/>
        <w:outlineLvl w:val="0"/>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bookmarkEnd w:id="2"/>
    </w:p>
    <w:p>
      <w:pPr>
        <w:spacing w:line="360" w:lineRule="auto"/>
        <w:outlineLvl w:val="0"/>
        <w:rPr>
          <w:rFonts w:ascii="宋体"/>
          <w:color w:val="000000"/>
          <w:spacing w:val="4"/>
          <w:sz w:val="24"/>
        </w:rPr>
      </w:pPr>
      <w:bookmarkStart w:id="3" w:name="_Toc4539"/>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bookmarkEnd w:id="3"/>
    </w:p>
    <w:p>
      <w:pPr>
        <w:spacing w:line="360" w:lineRule="auto"/>
        <w:outlineLvl w:val="0"/>
        <w:rPr>
          <w:color w:val="000000"/>
          <w:sz w:val="24"/>
        </w:rPr>
      </w:pPr>
      <w:bookmarkStart w:id="4" w:name="_Toc8821"/>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w:t>
      </w:r>
      <w:bookmarkEnd w:id="4"/>
      <w:r>
        <w:rPr>
          <w:rFonts w:hint="eastAsia"/>
          <w:color w:val="000000"/>
          <w:sz w:val="24"/>
        </w:rPr>
        <w:t>法定代表人资格证明</w:t>
      </w:r>
    </w:p>
    <w:p>
      <w:pPr>
        <w:spacing w:line="360" w:lineRule="auto"/>
        <w:outlineLvl w:val="0"/>
        <w:rPr>
          <w:color w:val="000000"/>
          <w:sz w:val="24"/>
        </w:rPr>
      </w:pPr>
      <w:r>
        <w:rPr>
          <w:rFonts w:hint="eastAsia" w:ascii="宋体" w:hAnsi="宋体"/>
          <w:color w:val="000000"/>
          <w:spacing w:val="4"/>
          <w:sz w:val="24"/>
        </w:rPr>
        <w:t>附件</w:t>
      </w:r>
      <w:r>
        <w:rPr>
          <w:rFonts w:hint="eastAsia" w:ascii="宋体" w:hAnsi="宋体"/>
          <w:color w:val="000000"/>
          <w:spacing w:val="4"/>
          <w:sz w:val="24"/>
          <w:lang w:val="en-US" w:eastAsia="zh-CN"/>
        </w:rPr>
        <w:t>4</w:t>
      </w:r>
      <w:r>
        <w:rPr>
          <w:rFonts w:hint="eastAsia" w:ascii="宋体" w:hAnsi="宋体"/>
          <w:color w:val="000000"/>
          <w:spacing w:val="4"/>
          <w:sz w:val="24"/>
        </w:rPr>
        <w:t>：</w:t>
      </w:r>
      <w:r>
        <w:rPr>
          <w:rFonts w:hint="eastAsia"/>
          <w:color w:val="000000"/>
          <w:sz w:val="24"/>
        </w:rPr>
        <w:t>法定代表人授权书</w:t>
      </w:r>
    </w:p>
    <w:p>
      <w:pPr>
        <w:spacing w:line="360" w:lineRule="auto"/>
        <w:outlineLvl w:val="0"/>
        <w:rPr>
          <w:color w:val="000000"/>
          <w:sz w:val="24"/>
        </w:rPr>
      </w:pPr>
      <w:bookmarkStart w:id="5" w:name="_Toc7318"/>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w:t>
      </w:r>
      <w:bookmarkEnd w:id="5"/>
      <w:r>
        <w:rPr>
          <w:rFonts w:hint="eastAsia"/>
          <w:color w:val="000000"/>
          <w:sz w:val="24"/>
        </w:rPr>
        <w:t>报名投标确认函</w:t>
      </w:r>
    </w:p>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3"/>
        <w:rPr>
          <w:rFonts w:ascii="宋体" w:hAnsi="宋体"/>
          <w:color w:val="000000"/>
          <w:sz w:val="21"/>
          <w:szCs w:val="21"/>
        </w:rPr>
      </w:pPr>
      <w:r>
        <w:rPr>
          <w:color w:val="000000"/>
          <w:sz w:val="24"/>
        </w:rPr>
        <w:br w:type="page"/>
      </w:r>
      <w:bookmarkStart w:id="6" w:name="_Toc12022"/>
      <w:bookmarkStart w:id="7" w:name="_Toc34991461"/>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6"/>
      <w:bookmarkEnd w:id="7"/>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1"/>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pgSz w:w="11906" w:h="16838"/>
          <w:pgMar w:top="1440" w:right="1418" w:bottom="1440" w:left="1644" w:header="851" w:footer="992" w:gutter="0"/>
          <w:pgNumType w:fmt="decimal"/>
          <w:cols w:space="720" w:num="1"/>
          <w:titlePg/>
          <w:docGrid w:type="lines" w:linePitch="312" w:charSpace="0"/>
        </w:sectPr>
      </w:pPr>
    </w:p>
    <w:p>
      <w:pPr>
        <w:pStyle w:val="3"/>
        <w:rPr>
          <w:rFonts w:ascii="宋体" w:hAnsi="宋体"/>
          <w:b w:val="0"/>
          <w:color w:val="000000"/>
          <w:sz w:val="21"/>
          <w:szCs w:val="21"/>
        </w:rPr>
      </w:pPr>
      <w:bookmarkStart w:id="8" w:name="_Toc34991462"/>
      <w:bookmarkStart w:id="9" w:name="_Toc305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8"/>
      <w:bookmarkEnd w:id="9"/>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1"/>
        <w:tblW w:w="14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1832"/>
        <w:gridCol w:w="1500"/>
        <w:gridCol w:w="1620"/>
        <w:gridCol w:w="1062"/>
        <w:gridCol w:w="976"/>
        <w:gridCol w:w="857"/>
        <w:gridCol w:w="334"/>
        <w:gridCol w:w="1192"/>
        <w:gridCol w:w="935"/>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5802" w:type="dxa"/>
            <w:gridSpan w:val="4"/>
            <w:noWrap w:val="0"/>
            <w:vAlign w:val="center"/>
          </w:tcPr>
          <w:p>
            <w:pPr>
              <w:spacing w:line="360" w:lineRule="auto"/>
              <w:jc w:val="center"/>
              <w:rPr>
                <w:rFonts w:ascii="宋体"/>
                <w:b/>
                <w:color w:val="000000"/>
                <w:szCs w:val="21"/>
              </w:rPr>
            </w:pPr>
          </w:p>
        </w:tc>
        <w:tc>
          <w:tcPr>
            <w:tcW w:w="2895" w:type="dxa"/>
            <w:gridSpan w:val="3"/>
            <w:noWrap w:val="0"/>
            <w:vAlign w:val="center"/>
          </w:tcPr>
          <w:p>
            <w:pPr>
              <w:spacing w:line="360" w:lineRule="auto"/>
              <w:jc w:val="center"/>
              <w:rPr>
                <w:rFonts w:ascii="宋体"/>
                <w:b/>
                <w:color w:val="000000"/>
                <w:szCs w:val="21"/>
              </w:rPr>
            </w:pPr>
          </w:p>
        </w:tc>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2179" w:type="dxa"/>
            <w:gridSpan w:val="2"/>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1618" w:type="dxa"/>
            <w:gridSpan w:val="2"/>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1832" w:type="dxa"/>
            <w:noWrap w:val="0"/>
            <w:vAlign w:val="center"/>
          </w:tcPr>
          <w:p>
            <w:pPr>
              <w:spacing w:line="360" w:lineRule="auto"/>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材质</w:t>
            </w:r>
          </w:p>
        </w:tc>
        <w:tc>
          <w:tcPr>
            <w:tcW w:w="1500"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1620"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1062"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gridSpan w:val="2"/>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244"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1618" w:type="dxa"/>
            <w:gridSpan w:val="2"/>
            <w:noWrap w:val="0"/>
            <w:vAlign w:val="top"/>
          </w:tcPr>
          <w:p>
            <w:pPr>
              <w:spacing w:line="360" w:lineRule="auto"/>
              <w:rPr>
                <w:rFonts w:ascii="宋体"/>
                <w:color w:val="000000"/>
                <w:sz w:val="24"/>
              </w:rPr>
            </w:pPr>
          </w:p>
        </w:tc>
        <w:tc>
          <w:tcPr>
            <w:tcW w:w="1832" w:type="dxa"/>
            <w:noWrap w:val="0"/>
            <w:vAlign w:val="top"/>
          </w:tcPr>
          <w:p>
            <w:pPr>
              <w:spacing w:line="360" w:lineRule="auto"/>
              <w:rPr>
                <w:rFonts w:ascii="宋体"/>
                <w:color w:val="000000"/>
                <w:sz w:val="24"/>
              </w:rPr>
            </w:pPr>
          </w:p>
        </w:tc>
        <w:tc>
          <w:tcPr>
            <w:tcW w:w="1500" w:type="dxa"/>
            <w:noWrap w:val="0"/>
            <w:vAlign w:val="top"/>
          </w:tcPr>
          <w:p>
            <w:pPr>
              <w:spacing w:line="360" w:lineRule="auto"/>
              <w:rPr>
                <w:rFonts w:ascii="宋体"/>
                <w:color w:val="000000"/>
                <w:sz w:val="24"/>
              </w:rPr>
            </w:pPr>
          </w:p>
        </w:tc>
        <w:tc>
          <w:tcPr>
            <w:tcW w:w="1620" w:type="dxa"/>
            <w:noWrap w:val="0"/>
            <w:vAlign w:val="top"/>
          </w:tcPr>
          <w:p>
            <w:pPr>
              <w:spacing w:line="360" w:lineRule="auto"/>
              <w:rPr>
                <w:rFonts w:ascii="宋体"/>
                <w:color w:val="000000"/>
                <w:sz w:val="24"/>
              </w:rPr>
            </w:pPr>
          </w:p>
        </w:tc>
        <w:tc>
          <w:tcPr>
            <w:tcW w:w="1062"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gridSpan w:val="2"/>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244"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332" w:type="dxa"/>
            <w:gridSpan w:val="2"/>
            <w:noWrap w:val="0"/>
            <w:vAlign w:val="center"/>
          </w:tcPr>
          <w:p>
            <w:pPr>
              <w:spacing w:line="360" w:lineRule="auto"/>
              <w:jc w:val="center"/>
              <w:rPr>
                <w:rFonts w:ascii="宋体"/>
                <w:b/>
                <w:color w:val="000000"/>
                <w:sz w:val="24"/>
              </w:rPr>
            </w:pPr>
          </w:p>
        </w:tc>
        <w:tc>
          <w:tcPr>
            <w:tcW w:w="2682" w:type="dxa"/>
            <w:gridSpan w:val="2"/>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3359" w:type="dxa"/>
            <w:gridSpan w:val="4"/>
            <w:noWrap w:val="0"/>
            <w:vAlign w:val="center"/>
          </w:tcPr>
          <w:p>
            <w:pPr>
              <w:spacing w:line="360" w:lineRule="auto"/>
              <w:jc w:val="center"/>
              <w:rPr>
                <w:rFonts w:ascii="宋体"/>
                <w:b/>
                <w:color w:val="000000"/>
                <w:sz w:val="24"/>
              </w:rPr>
            </w:pPr>
          </w:p>
        </w:tc>
        <w:tc>
          <w:tcPr>
            <w:tcW w:w="2179"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spacing w:line="360" w:lineRule="auto"/>
        <w:ind w:firstLine="496"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ascii="宋体"/>
          <w:color w:val="000000"/>
          <w:spacing w:val="4"/>
          <w:sz w:val="24"/>
        </w:rPr>
        <w:br w:type="page"/>
      </w:r>
    </w:p>
    <w:p>
      <w:pPr>
        <w:pStyle w:val="3"/>
        <w:rPr>
          <w:rFonts w:ascii="宋体" w:hAnsi="宋体"/>
          <w:b w:val="0"/>
          <w:color w:val="000000"/>
          <w:sz w:val="21"/>
          <w:szCs w:val="21"/>
        </w:rPr>
      </w:pPr>
      <w:bookmarkStart w:id="10" w:name="_Toc34991466"/>
      <w:bookmarkStart w:id="1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3</w:t>
      </w:r>
      <w:r>
        <w:rPr>
          <w:rFonts w:hint="eastAsia" w:ascii="宋体" w:hAnsi="宋体"/>
          <w:b w:val="0"/>
          <w:color w:val="000000"/>
          <w:sz w:val="21"/>
          <w:szCs w:val="21"/>
        </w:rPr>
        <w:t>：法定代表人资格证明</w:t>
      </w:r>
      <w:bookmarkEnd w:id="10"/>
      <w:bookmarkEnd w:id="1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12" w:name="_Toc13075"/>
      <w:bookmarkStart w:id="1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E12ybVKAgAAmA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8TkJ2gAAAAsBAAAPAAAAAAAA&#10;AAEAIAAAACIAAABkcnMvZG93bnJldi54bWxQSwECFAAUAAAACACHTuJA55uDeEkCAACYBAAADgAA&#10;AAAAAAABACAAAAApAQAAZHJzL2Uyb0RvYy54bWxQSwUGAAAAAAYABgBZAQAA5A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4</w:t>
      </w:r>
      <w:r>
        <w:rPr>
          <w:rFonts w:hint="eastAsia" w:ascii="宋体" w:hAnsi="宋体"/>
          <w:b w:val="0"/>
          <w:color w:val="000000"/>
          <w:sz w:val="21"/>
          <w:szCs w:val="21"/>
        </w:rPr>
        <w:t>：法定代表人授权书</w:t>
      </w:r>
      <w:bookmarkEnd w:id="12"/>
      <w:bookmarkEnd w:id="1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kJaNkAAAAKAQAADwAAAAAA&#10;AAABACAAAAAiAAAAZHJzL2Rvd25yZXYueG1sUEsBAhQAFAAAAAgAh07iQO7DuQ1LAgAAmAQAAA4A&#10;AAAAAAAAAQAgAAAAKAEAAGRycy9lMm9Eb2MueG1sUEsFBgAAAAAGAAYAWQEAAOU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CImH9JSwIAAJg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26"/>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14" w:name="_Toc34991468"/>
      <w:bookmarkStart w:id="15"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5</w:t>
      </w:r>
      <w:r>
        <w:rPr>
          <w:rFonts w:hint="eastAsia" w:ascii="宋体" w:hAnsi="宋体"/>
          <w:b w:val="0"/>
          <w:color w:val="000000"/>
          <w:sz w:val="21"/>
          <w:szCs w:val="21"/>
        </w:rPr>
        <w:t>：报名投标确认函</w:t>
      </w:r>
      <w:bookmarkEnd w:id="14"/>
      <w:bookmarkEnd w:id="15"/>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2"/>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2"/>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2"/>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2"/>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2"/>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2"/>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6"/>
        <w:rPr>
          <w:sz w:val="24"/>
        </w:rPr>
      </w:pPr>
    </w:p>
    <w:sectPr>
      <w:headerReference r:id="rId6" w:type="default"/>
      <w:footerReference r:id="rId7" w:type="default"/>
      <w:pgSz w:w="11906" w:h="16838"/>
      <w:pgMar w:top="1077" w:right="1449"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CRb0RvJAQAAmwMAAA4AAAAAAAAAAQAgAAAAJgEAAGRy&#10;cy9lMm9Eb2MueG1sUEsFBgAAAAAGAAYAWQEAAGEFAAAAAA==&#10;">
              <v:fill on="f" focussize="0,0"/>
              <v:stroke on="f"/>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41E49"/>
    <w:rsid w:val="0006449A"/>
    <w:rsid w:val="000933AF"/>
    <w:rsid w:val="00093DF6"/>
    <w:rsid w:val="000F6CC5"/>
    <w:rsid w:val="001033D4"/>
    <w:rsid w:val="001303A1"/>
    <w:rsid w:val="001312BB"/>
    <w:rsid w:val="00146F24"/>
    <w:rsid w:val="00163488"/>
    <w:rsid w:val="00172A27"/>
    <w:rsid w:val="00174310"/>
    <w:rsid w:val="00176DA1"/>
    <w:rsid w:val="00180B8E"/>
    <w:rsid w:val="001A5957"/>
    <w:rsid w:val="001C0B18"/>
    <w:rsid w:val="001C7A0C"/>
    <w:rsid w:val="001D1911"/>
    <w:rsid w:val="001D3A8C"/>
    <w:rsid w:val="001D622A"/>
    <w:rsid w:val="00206726"/>
    <w:rsid w:val="00224E45"/>
    <w:rsid w:val="00236E0F"/>
    <w:rsid w:val="00240388"/>
    <w:rsid w:val="00252E58"/>
    <w:rsid w:val="00261E2E"/>
    <w:rsid w:val="0027116C"/>
    <w:rsid w:val="002A03F0"/>
    <w:rsid w:val="002A0678"/>
    <w:rsid w:val="002A13A9"/>
    <w:rsid w:val="002B12EC"/>
    <w:rsid w:val="002B37ED"/>
    <w:rsid w:val="002D087C"/>
    <w:rsid w:val="002F4E7A"/>
    <w:rsid w:val="00304156"/>
    <w:rsid w:val="003102D1"/>
    <w:rsid w:val="00342DB7"/>
    <w:rsid w:val="00381204"/>
    <w:rsid w:val="00382232"/>
    <w:rsid w:val="00394176"/>
    <w:rsid w:val="003B4F50"/>
    <w:rsid w:val="003C0D1C"/>
    <w:rsid w:val="003C2F91"/>
    <w:rsid w:val="003D10E4"/>
    <w:rsid w:val="003E1C11"/>
    <w:rsid w:val="003F0C12"/>
    <w:rsid w:val="003F0D1C"/>
    <w:rsid w:val="003F4F19"/>
    <w:rsid w:val="004105DC"/>
    <w:rsid w:val="00434F17"/>
    <w:rsid w:val="00450000"/>
    <w:rsid w:val="0045030B"/>
    <w:rsid w:val="00496F6B"/>
    <w:rsid w:val="004A4F8C"/>
    <w:rsid w:val="004B451B"/>
    <w:rsid w:val="004E0A5A"/>
    <w:rsid w:val="004E0ADD"/>
    <w:rsid w:val="005329DA"/>
    <w:rsid w:val="00554D27"/>
    <w:rsid w:val="00565853"/>
    <w:rsid w:val="00567510"/>
    <w:rsid w:val="00587A55"/>
    <w:rsid w:val="005B572D"/>
    <w:rsid w:val="005C3AA3"/>
    <w:rsid w:val="005C51D5"/>
    <w:rsid w:val="005D1261"/>
    <w:rsid w:val="005D6AC6"/>
    <w:rsid w:val="005E4271"/>
    <w:rsid w:val="005F39CE"/>
    <w:rsid w:val="00602BA2"/>
    <w:rsid w:val="006519B6"/>
    <w:rsid w:val="00653E82"/>
    <w:rsid w:val="006C277B"/>
    <w:rsid w:val="006E3062"/>
    <w:rsid w:val="006F0A11"/>
    <w:rsid w:val="007125F8"/>
    <w:rsid w:val="0072193F"/>
    <w:rsid w:val="00726B6B"/>
    <w:rsid w:val="00750A03"/>
    <w:rsid w:val="00756068"/>
    <w:rsid w:val="007730E2"/>
    <w:rsid w:val="007A620B"/>
    <w:rsid w:val="007F048D"/>
    <w:rsid w:val="00801C4F"/>
    <w:rsid w:val="00814EEC"/>
    <w:rsid w:val="0084628C"/>
    <w:rsid w:val="00850A0D"/>
    <w:rsid w:val="00851E53"/>
    <w:rsid w:val="008545F7"/>
    <w:rsid w:val="00886C25"/>
    <w:rsid w:val="00896449"/>
    <w:rsid w:val="008A122C"/>
    <w:rsid w:val="008A410C"/>
    <w:rsid w:val="008F0FB0"/>
    <w:rsid w:val="009272BD"/>
    <w:rsid w:val="00933788"/>
    <w:rsid w:val="00933CCF"/>
    <w:rsid w:val="009344EB"/>
    <w:rsid w:val="00937FF1"/>
    <w:rsid w:val="00940BAA"/>
    <w:rsid w:val="00941B5E"/>
    <w:rsid w:val="00972F94"/>
    <w:rsid w:val="00973D0C"/>
    <w:rsid w:val="009913F3"/>
    <w:rsid w:val="009B2D50"/>
    <w:rsid w:val="009B4979"/>
    <w:rsid w:val="009C176F"/>
    <w:rsid w:val="009C61B1"/>
    <w:rsid w:val="00A17E38"/>
    <w:rsid w:val="00A257FB"/>
    <w:rsid w:val="00A27F09"/>
    <w:rsid w:val="00A6150E"/>
    <w:rsid w:val="00A666E6"/>
    <w:rsid w:val="00A96033"/>
    <w:rsid w:val="00AC5933"/>
    <w:rsid w:val="00AD1B45"/>
    <w:rsid w:val="00B03B7C"/>
    <w:rsid w:val="00B4730E"/>
    <w:rsid w:val="00B80952"/>
    <w:rsid w:val="00BA0BCE"/>
    <w:rsid w:val="00BA2B91"/>
    <w:rsid w:val="00BB5848"/>
    <w:rsid w:val="00BC076B"/>
    <w:rsid w:val="00BE6536"/>
    <w:rsid w:val="00BF6430"/>
    <w:rsid w:val="00C006D6"/>
    <w:rsid w:val="00C3241B"/>
    <w:rsid w:val="00C35D33"/>
    <w:rsid w:val="00CA223E"/>
    <w:rsid w:val="00CB2912"/>
    <w:rsid w:val="00CE43D2"/>
    <w:rsid w:val="00D1648C"/>
    <w:rsid w:val="00D51E1F"/>
    <w:rsid w:val="00D55446"/>
    <w:rsid w:val="00D62A62"/>
    <w:rsid w:val="00DC2F77"/>
    <w:rsid w:val="00DC7AA0"/>
    <w:rsid w:val="00DD30C8"/>
    <w:rsid w:val="00DD42E7"/>
    <w:rsid w:val="00DF3613"/>
    <w:rsid w:val="00E04B6A"/>
    <w:rsid w:val="00E07248"/>
    <w:rsid w:val="00E267ED"/>
    <w:rsid w:val="00E5046D"/>
    <w:rsid w:val="00E511DE"/>
    <w:rsid w:val="00EA047A"/>
    <w:rsid w:val="00EE7864"/>
    <w:rsid w:val="00EF2BF0"/>
    <w:rsid w:val="00F00C52"/>
    <w:rsid w:val="00F10EF6"/>
    <w:rsid w:val="00F25491"/>
    <w:rsid w:val="00F405E6"/>
    <w:rsid w:val="00F73693"/>
    <w:rsid w:val="00F73B27"/>
    <w:rsid w:val="00F82191"/>
    <w:rsid w:val="00F82D91"/>
    <w:rsid w:val="00F8558E"/>
    <w:rsid w:val="00FB54EC"/>
    <w:rsid w:val="00FD7580"/>
    <w:rsid w:val="00FE1088"/>
    <w:rsid w:val="00FE535C"/>
    <w:rsid w:val="00FE6B98"/>
    <w:rsid w:val="00FF5F15"/>
    <w:rsid w:val="02366BFC"/>
    <w:rsid w:val="02C34648"/>
    <w:rsid w:val="051605BC"/>
    <w:rsid w:val="06163BD1"/>
    <w:rsid w:val="06A420ED"/>
    <w:rsid w:val="078556D9"/>
    <w:rsid w:val="07D41536"/>
    <w:rsid w:val="08CD3F71"/>
    <w:rsid w:val="09EE765E"/>
    <w:rsid w:val="0A833281"/>
    <w:rsid w:val="0AF76964"/>
    <w:rsid w:val="0D2D7BF7"/>
    <w:rsid w:val="0DBB5368"/>
    <w:rsid w:val="0E935F15"/>
    <w:rsid w:val="0F2B4570"/>
    <w:rsid w:val="0FB86E64"/>
    <w:rsid w:val="101C0C30"/>
    <w:rsid w:val="10A34788"/>
    <w:rsid w:val="1457547C"/>
    <w:rsid w:val="1468248E"/>
    <w:rsid w:val="147A357D"/>
    <w:rsid w:val="14C63838"/>
    <w:rsid w:val="152F7E36"/>
    <w:rsid w:val="156D0294"/>
    <w:rsid w:val="15C41650"/>
    <w:rsid w:val="16970417"/>
    <w:rsid w:val="174E5C33"/>
    <w:rsid w:val="17D14778"/>
    <w:rsid w:val="180715CC"/>
    <w:rsid w:val="18465780"/>
    <w:rsid w:val="1AB23575"/>
    <w:rsid w:val="1C0466A8"/>
    <w:rsid w:val="1C364BBA"/>
    <w:rsid w:val="1CCA3869"/>
    <w:rsid w:val="1CFC4FCF"/>
    <w:rsid w:val="1D7D3B03"/>
    <w:rsid w:val="1DD44582"/>
    <w:rsid w:val="207F2647"/>
    <w:rsid w:val="22C97E48"/>
    <w:rsid w:val="23B762FF"/>
    <w:rsid w:val="24066C35"/>
    <w:rsid w:val="27202030"/>
    <w:rsid w:val="27397933"/>
    <w:rsid w:val="27FB2CF4"/>
    <w:rsid w:val="29552D45"/>
    <w:rsid w:val="2C627C4F"/>
    <w:rsid w:val="2C773E2D"/>
    <w:rsid w:val="2CEC0F06"/>
    <w:rsid w:val="2D2B3EDE"/>
    <w:rsid w:val="2E832474"/>
    <w:rsid w:val="32596A25"/>
    <w:rsid w:val="342F3A6A"/>
    <w:rsid w:val="35683252"/>
    <w:rsid w:val="35F966E1"/>
    <w:rsid w:val="364E7665"/>
    <w:rsid w:val="36D601E8"/>
    <w:rsid w:val="371C5AC4"/>
    <w:rsid w:val="37485F83"/>
    <w:rsid w:val="389D2E5E"/>
    <w:rsid w:val="38E8560F"/>
    <w:rsid w:val="3B00217F"/>
    <w:rsid w:val="3B5211DC"/>
    <w:rsid w:val="3C340801"/>
    <w:rsid w:val="3D9267FC"/>
    <w:rsid w:val="3ECF32FA"/>
    <w:rsid w:val="400B56FF"/>
    <w:rsid w:val="40204729"/>
    <w:rsid w:val="40F7192E"/>
    <w:rsid w:val="4198777F"/>
    <w:rsid w:val="42AF290E"/>
    <w:rsid w:val="43654233"/>
    <w:rsid w:val="44B07A08"/>
    <w:rsid w:val="45BB5620"/>
    <w:rsid w:val="46312885"/>
    <w:rsid w:val="46363230"/>
    <w:rsid w:val="485A31EE"/>
    <w:rsid w:val="490258E8"/>
    <w:rsid w:val="49342513"/>
    <w:rsid w:val="4A885859"/>
    <w:rsid w:val="4C516396"/>
    <w:rsid w:val="4DBE70C8"/>
    <w:rsid w:val="4F566AB1"/>
    <w:rsid w:val="52464F50"/>
    <w:rsid w:val="529275A5"/>
    <w:rsid w:val="545C3681"/>
    <w:rsid w:val="55530616"/>
    <w:rsid w:val="55FC3817"/>
    <w:rsid w:val="56C56F56"/>
    <w:rsid w:val="579F1367"/>
    <w:rsid w:val="57C46052"/>
    <w:rsid w:val="5827444F"/>
    <w:rsid w:val="5A4C3E5A"/>
    <w:rsid w:val="5B4E3863"/>
    <w:rsid w:val="5C175F8D"/>
    <w:rsid w:val="5CEA1B7D"/>
    <w:rsid w:val="5D8C3A2F"/>
    <w:rsid w:val="5DA327CA"/>
    <w:rsid w:val="5F230066"/>
    <w:rsid w:val="616B0426"/>
    <w:rsid w:val="61B91426"/>
    <w:rsid w:val="62B03E2D"/>
    <w:rsid w:val="62C61163"/>
    <w:rsid w:val="6340510E"/>
    <w:rsid w:val="644E1579"/>
    <w:rsid w:val="65386C6F"/>
    <w:rsid w:val="65DB3287"/>
    <w:rsid w:val="67784E22"/>
    <w:rsid w:val="6A3C65A4"/>
    <w:rsid w:val="6B056872"/>
    <w:rsid w:val="6B275ADB"/>
    <w:rsid w:val="6BC1223C"/>
    <w:rsid w:val="6BE33FA7"/>
    <w:rsid w:val="6C6178D9"/>
    <w:rsid w:val="6D237483"/>
    <w:rsid w:val="6E5F1847"/>
    <w:rsid w:val="70B34FC2"/>
    <w:rsid w:val="73CC7AC9"/>
    <w:rsid w:val="747554DC"/>
    <w:rsid w:val="74D741CC"/>
    <w:rsid w:val="7548217D"/>
    <w:rsid w:val="77C16289"/>
    <w:rsid w:val="78930A25"/>
    <w:rsid w:val="7A835A7B"/>
    <w:rsid w:val="7A9018C8"/>
    <w:rsid w:val="7C6A78A5"/>
    <w:rsid w:val="7D783DA2"/>
    <w:rsid w:val="7E0D28D9"/>
    <w:rsid w:val="7E9B59A3"/>
    <w:rsid w:val="7F141322"/>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18"/>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0"/>
    <w:pPr>
      <w:snapToGrid w:val="0"/>
      <w:spacing w:before="120" w:after="120" w:line="360" w:lineRule="auto"/>
    </w:pPr>
    <w:rPr>
      <w:rFonts w:ascii="宋体" w:hAnsi="宋体"/>
      <w:sz w:val="24"/>
      <w:szCs w:val="20"/>
    </w:rPr>
  </w:style>
  <w:style w:type="paragraph" w:styleId="6">
    <w:name w:val="Body Text Indent"/>
    <w:basedOn w:val="1"/>
    <w:qFormat/>
    <w:uiPriority w:val="0"/>
    <w:pPr>
      <w:spacing w:after="120" w:afterLines="0" w:afterAutospacing="0"/>
      <w:ind w:left="420" w:leftChars="200"/>
    </w:pPr>
  </w:style>
  <w:style w:type="paragraph" w:styleId="7">
    <w:name w:val="Plain Text"/>
    <w:basedOn w:val="1"/>
    <w:link w:val="20"/>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ascii="Calibri" w:hAnsi="Calibri"/>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rPr>
  </w:style>
  <w:style w:type="paragraph" w:customStyle="1" w:styleId="15">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6">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7">
    <w:name w:val="Char1"/>
    <w:basedOn w:val="1"/>
    <w:qFormat/>
    <w:uiPriority w:val="0"/>
  </w:style>
  <w:style w:type="character" w:customStyle="1" w:styleId="18">
    <w:name w:val="标题 3 字符"/>
    <w:link w:val="4"/>
    <w:semiHidden/>
    <w:qFormat/>
    <w:uiPriority w:val="0"/>
    <w:rPr>
      <w:b/>
      <w:bCs/>
      <w:kern w:val="2"/>
      <w:sz w:val="32"/>
      <w:szCs w:val="32"/>
    </w:rPr>
  </w:style>
  <w:style w:type="character" w:customStyle="1" w:styleId="19">
    <w:name w:val="正文文本 字符"/>
    <w:link w:val="5"/>
    <w:qFormat/>
    <w:uiPriority w:val="0"/>
    <w:rPr>
      <w:rFonts w:ascii="宋体" w:hAnsi="宋体"/>
      <w:kern w:val="2"/>
      <w:sz w:val="24"/>
    </w:rPr>
  </w:style>
  <w:style w:type="character" w:customStyle="1" w:styleId="20">
    <w:name w:val="纯文本 字符"/>
    <w:link w:val="7"/>
    <w:qFormat/>
    <w:uiPriority w:val="0"/>
    <w:rPr>
      <w:rFonts w:ascii="宋体" w:hAnsi="Courier New"/>
      <w:kern w:val="2"/>
      <w:sz w:val="21"/>
    </w:rPr>
  </w:style>
  <w:style w:type="paragraph" w:customStyle="1" w:styleId="21">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2">
    <w:name w:val="普通正文"/>
    <w:basedOn w:val="1"/>
    <w:qFormat/>
    <w:uiPriority w:val="0"/>
    <w:pPr>
      <w:adjustRightInd w:val="0"/>
      <w:spacing w:before="120" w:after="120" w:line="360" w:lineRule="auto"/>
      <w:ind w:firstLine="480"/>
      <w:jc w:val="left"/>
    </w:pPr>
    <w:rPr>
      <w:rFonts w:ascii="Arial" w:hAnsi="Arial"/>
      <w:kern w:val="0"/>
      <w:sz w:val="24"/>
    </w:rPr>
  </w:style>
  <w:style w:type="paragraph" w:styleId="23">
    <w:name w:val="List Paragraph"/>
    <w:basedOn w:val="1"/>
    <w:qFormat/>
    <w:uiPriority w:val="99"/>
    <w:pPr>
      <w:ind w:firstLine="420" w:firstLineChars="200"/>
    </w:pPr>
  </w:style>
  <w:style w:type="character" w:customStyle="1" w:styleId="24">
    <w:name w:val="*正文 Char"/>
    <w:link w:val="25"/>
    <w:qFormat/>
    <w:uiPriority w:val="0"/>
    <w:rPr>
      <w:rFonts w:ascii="宋体" w:hAnsi="宋体"/>
      <w:sz w:val="24"/>
      <w:szCs w:val="24"/>
      <w:lang w:val="zh-CN" w:eastAsia="zh-CN"/>
    </w:rPr>
  </w:style>
  <w:style w:type="paragraph" w:customStyle="1" w:styleId="25">
    <w:name w:val="*正文"/>
    <w:basedOn w:val="1"/>
    <w:link w:val="24"/>
    <w:qFormat/>
    <w:uiPriority w:val="0"/>
    <w:pPr>
      <w:jc w:val="left"/>
    </w:pPr>
    <w:rPr>
      <w:rFonts w:ascii="宋体" w:hAnsi="宋体"/>
      <w:kern w:val="0"/>
      <w:sz w:val="24"/>
      <w:lang w:val="zh-CN" w:eastAsia="zh-CN"/>
    </w:rPr>
  </w:style>
  <w:style w:type="paragraph" w:customStyle="1" w:styleId="26">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10970</Words>
  <Characters>11564</Characters>
  <Lines>88</Lines>
  <Paragraphs>24</Paragraphs>
  <TotalTime>54</TotalTime>
  <ScaleCrop>false</ScaleCrop>
  <LinksUpToDate>false</LinksUpToDate>
  <CharactersWithSpaces>13106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2022-11-25T08:50:00Z</dcterms:created>
  <dc:creator>Administrator</dc:creator>
  <cp:lastModifiedBy>梧桐雨</cp:lastModifiedBy>
  <cp:lastPrinted>2023-09-21T04:56:00Z</cp:lastPrinted>
  <dcterms:modified xsi:type="dcterms:W3CDTF">2023-09-21T07:39:18Z</dcterms:modified>
  <dc:title>防火门购销合同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5378C34FB98547DCBF874A2D7C284A8A_13</vt:lpwstr>
  </property>
</Properties>
</file>