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72"/>
          <w:szCs w:val="72"/>
        </w:rPr>
      </w:pPr>
      <w:r>
        <w:rPr>
          <w:rFonts w:hint="eastAsia" w:ascii="黑体" w:eastAsia="黑体"/>
          <w:b/>
          <w:bCs/>
          <w:sz w:val="52"/>
          <w:szCs w:val="52"/>
        </w:rPr>
        <w:drawing>
          <wp:inline distT="0" distB="0" distL="114300" distR="114300">
            <wp:extent cx="2708910" cy="2866390"/>
            <wp:effectExtent l="0" t="0" r="15240" b="10160"/>
            <wp:docPr id="1" name="图片 1" descr="南通理工学院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南通理工学院LOGO1"/>
                    <pic:cNvPicPr>
                      <a:picLocks noChangeAspect="1"/>
                    </pic:cNvPicPr>
                  </pic:nvPicPr>
                  <pic:blipFill>
                    <a:blip r:embed="rId7"/>
                    <a:stretch>
                      <a:fillRect/>
                    </a:stretch>
                  </pic:blipFill>
                  <pic:spPr>
                    <a:xfrm>
                      <a:off x="0" y="0"/>
                      <a:ext cx="2708910" cy="2866390"/>
                    </a:xfrm>
                    <a:prstGeom prst="rect">
                      <a:avLst/>
                    </a:prstGeom>
                    <a:noFill/>
                    <a:ln>
                      <a:noFill/>
                    </a:ln>
                  </pic:spPr>
                </pic:pic>
              </a:graphicData>
            </a:graphic>
          </wp:inline>
        </w:drawing>
      </w:r>
    </w:p>
    <w:p>
      <w:pPr>
        <w:jc w:val="center"/>
        <w:rPr>
          <w:rFonts w:ascii="仿宋_GB2312" w:eastAsia="仿宋_GB2312"/>
          <w:b/>
          <w:sz w:val="44"/>
          <w:szCs w:val="44"/>
        </w:rPr>
      </w:pPr>
      <w:r>
        <w:rPr>
          <w:rFonts w:hint="eastAsia" w:ascii="黑体" w:eastAsia="黑体"/>
          <w:b/>
          <w:bCs/>
          <w:sz w:val="52"/>
          <w:szCs w:val="52"/>
        </w:rPr>
        <w:drawing>
          <wp:inline distT="0" distB="0" distL="114300" distR="114300">
            <wp:extent cx="3971290" cy="765175"/>
            <wp:effectExtent l="0" t="0" r="10160" b="15875"/>
            <wp:docPr id="2" name="Picture 1" descr="南通理工学院横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南通理工学院横 拷贝"/>
                    <pic:cNvPicPr>
                      <a:picLocks noChangeAspect="1"/>
                    </pic:cNvPicPr>
                  </pic:nvPicPr>
                  <pic:blipFill>
                    <a:blip r:embed="rId8"/>
                    <a:stretch>
                      <a:fillRect/>
                    </a:stretch>
                  </pic:blipFill>
                  <pic:spPr>
                    <a:xfrm>
                      <a:off x="0" y="0"/>
                      <a:ext cx="3971290" cy="765175"/>
                    </a:xfrm>
                    <a:prstGeom prst="rect">
                      <a:avLst/>
                    </a:prstGeom>
                    <a:noFill/>
                    <a:ln>
                      <a:noFill/>
                    </a:ln>
                  </pic:spPr>
                </pic:pic>
              </a:graphicData>
            </a:graphic>
          </wp:inline>
        </w:drawing>
      </w:r>
    </w:p>
    <w:p>
      <w:pPr>
        <w:pStyle w:val="2"/>
      </w:pPr>
    </w:p>
    <w:p>
      <w:pPr>
        <w:ind w:firstLine="1767" w:firstLineChars="400"/>
        <w:rPr>
          <w:rFonts w:ascii="楷体_GB2312" w:eastAsia="楷体_GB2312"/>
          <w:b/>
          <w:sz w:val="44"/>
          <w:szCs w:val="44"/>
        </w:rPr>
      </w:pPr>
      <w:r>
        <w:rPr>
          <w:rFonts w:hint="eastAsia" w:ascii="楷体_GB2312" w:eastAsia="楷体_GB2312"/>
          <w:b/>
          <w:sz w:val="44"/>
          <w:szCs w:val="44"/>
        </w:rPr>
        <w:t>实验（训）室建设项目立项申请表</w:t>
      </w:r>
    </w:p>
    <w:p>
      <w:pPr>
        <w:pStyle w:val="2"/>
      </w:pPr>
    </w:p>
    <w:tbl>
      <w:tblPr>
        <w:tblStyle w:val="6"/>
        <w:tblpPr w:leftFromText="180" w:rightFromText="180" w:vertAnchor="text" w:horzAnchor="page" w:tblpX="2065" w:tblpY="266"/>
        <w:tblOverlap w:val="never"/>
        <w:tblW w:w="0" w:type="auto"/>
        <w:tblInd w:w="0" w:type="dxa"/>
        <w:tblLayout w:type="fixed"/>
        <w:tblCellMar>
          <w:top w:w="0" w:type="dxa"/>
          <w:left w:w="108" w:type="dxa"/>
          <w:bottom w:w="0" w:type="dxa"/>
          <w:right w:w="108" w:type="dxa"/>
        </w:tblCellMar>
      </w:tblPr>
      <w:tblGrid>
        <w:gridCol w:w="3018"/>
        <w:gridCol w:w="4992"/>
      </w:tblGrid>
      <w:tr>
        <w:tblPrEx>
          <w:tblCellMar>
            <w:top w:w="0" w:type="dxa"/>
            <w:left w:w="108" w:type="dxa"/>
            <w:bottom w:w="0" w:type="dxa"/>
            <w:right w:w="108" w:type="dxa"/>
          </w:tblCellMar>
        </w:tblPrEx>
        <w:trPr>
          <w:trHeight w:val="687" w:hRule="atLeast"/>
        </w:trPr>
        <w:tc>
          <w:tcPr>
            <w:tcW w:w="3018" w:type="dxa"/>
            <w:vAlign w:val="center"/>
          </w:tcPr>
          <w:p>
            <w:pPr>
              <w:spacing w:line="500" w:lineRule="exact"/>
              <w:jc w:val="distribute"/>
              <w:rPr>
                <w:rFonts w:ascii="楷体_GB2312" w:eastAsia="楷体_GB2312"/>
                <w:b/>
                <w:bCs/>
                <w:sz w:val="28"/>
                <w:szCs w:val="28"/>
              </w:rPr>
            </w:pPr>
            <w:r>
              <w:rPr>
                <w:rFonts w:hint="eastAsia" w:ascii="楷体_GB2312" w:eastAsia="楷体_GB2312"/>
                <w:b/>
                <w:bCs/>
                <w:spacing w:val="31"/>
                <w:w w:val="90"/>
                <w:kern w:val="0"/>
                <w:sz w:val="28"/>
                <w:szCs w:val="28"/>
              </w:rPr>
              <w:t>项目名称</w:t>
            </w:r>
            <w:r>
              <w:rPr>
                <w:rFonts w:hint="eastAsia" w:ascii="楷体_GB2312" w:eastAsia="楷体_GB2312"/>
                <w:b/>
                <w:bCs/>
                <w:spacing w:val="5"/>
                <w:w w:val="90"/>
                <w:kern w:val="0"/>
                <w:sz w:val="28"/>
                <w:szCs w:val="28"/>
              </w:rPr>
              <w:t>：</w:t>
            </w:r>
          </w:p>
        </w:tc>
        <w:tc>
          <w:tcPr>
            <w:tcW w:w="4992" w:type="dxa"/>
            <w:tcBorders>
              <w:bottom w:val="single" w:color="auto" w:sz="4" w:space="0"/>
            </w:tcBorders>
          </w:tcPr>
          <w:p>
            <w:pPr>
              <w:spacing w:line="500" w:lineRule="exact"/>
              <w:rPr>
                <w:sz w:val="28"/>
              </w:rPr>
            </w:pPr>
            <w:r>
              <w:rPr>
                <w:rFonts w:hint="eastAsia" w:asciiTheme="majorEastAsia" w:hAnsiTheme="majorEastAsia" w:eastAsiaTheme="majorEastAsia" w:cstheme="majorEastAsia"/>
                <w:sz w:val="28"/>
                <w:szCs w:val="28"/>
              </w:rPr>
              <w:t>康复治疗实训中心</w:t>
            </w:r>
          </w:p>
        </w:tc>
      </w:tr>
      <w:tr>
        <w:tblPrEx>
          <w:tblCellMar>
            <w:top w:w="0" w:type="dxa"/>
            <w:left w:w="108" w:type="dxa"/>
            <w:bottom w:w="0" w:type="dxa"/>
            <w:right w:w="108" w:type="dxa"/>
          </w:tblCellMar>
        </w:tblPrEx>
        <w:trPr>
          <w:trHeight w:val="570" w:hRule="atLeast"/>
        </w:trPr>
        <w:tc>
          <w:tcPr>
            <w:tcW w:w="3018" w:type="dxa"/>
            <w:vAlign w:val="center"/>
          </w:tcPr>
          <w:p>
            <w:pPr>
              <w:spacing w:line="500" w:lineRule="exact"/>
              <w:jc w:val="distribute"/>
              <w:rPr>
                <w:rFonts w:ascii="楷体_GB2312" w:eastAsia="楷体_GB2312"/>
                <w:b/>
                <w:bCs/>
                <w:sz w:val="28"/>
                <w:szCs w:val="28"/>
              </w:rPr>
            </w:pPr>
            <w:r>
              <w:rPr>
                <w:rFonts w:hint="eastAsia" w:ascii="楷体_GB2312" w:eastAsia="楷体_GB2312"/>
                <w:b/>
                <w:bCs/>
                <w:sz w:val="28"/>
                <w:szCs w:val="28"/>
              </w:rPr>
              <w:t>适用学科专业：</w:t>
            </w:r>
          </w:p>
        </w:tc>
        <w:tc>
          <w:tcPr>
            <w:tcW w:w="4992" w:type="dxa"/>
            <w:tcBorders>
              <w:top w:val="single" w:color="auto" w:sz="4" w:space="0"/>
              <w:bottom w:val="single" w:color="auto" w:sz="4" w:space="0"/>
            </w:tcBorders>
          </w:tcPr>
          <w:p>
            <w:pPr>
              <w:spacing w:line="500" w:lineRule="exact"/>
              <w:rPr>
                <w:sz w:val="28"/>
              </w:rPr>
            </w:pPr>
            <w:r>
              <w:rPr>
                <w:rFonts w:hint="eastAsia"/>
                <w:sz w:val="28"/>
              </w:rPr>
              <w:t>护理学、康复治疗学、健康服务与管理</w:t>
            </w:r>
          </w:p>
        </w:tc>
      </w:tr>
      <w:tr>
        <w:tblPrEx>
          <w:tblCellMar>
            <w:top w:w="0" w:type="dxa"/>
            <w:left w:w="108" w:type="dxa"/>
            <w:bottom w:w="0" w:type="dxa"/>
            <w:right w:w="108" w:type="dxa"/>
          </w:tblCellMar>
        </w:tblPrEx>
        <w:trPr>
          <w:trHeight w:val="561" w:hRule="atLeast"/>
        </w:trPr>
        <w:tc>
          <w:tcPr>
            <w:tcW w:w="3018" w:type="dxa"/>
            <w:vAlign w:val="center"/>
          </w:tcPr>
          <w:p>
            <w:pPr>
              <w:spacing w:line="500" w:lineRule="exact"/>
              <w:jc w:val="distribute"/>
              <w:rPr>
                <w:rFonts w:ascii="楷体_GB2312" w:eastAsia="楷体_GB2312"/>
                <w:b/>
                <w:bCs/>
                <w:sz w:val="28"/>
                <w:szCs w:val="28"/>
              </w:rPr>
            </w:pPr>
            <w:r>
              <w:rPr>
                <w:rFonts w:hint="eastAsia" w:ascii="楷体_GB2312" w:eastAsia="楷体_GB2312"/>
                <w:b/>
                <w:bCs/>
                <w:sz w:val="28"/>
                <w:szCs w:val="28"/>
              </w:rPr>
              <w:t>项目负责人：</w:t>
            </w:r>
          </w:p>
        </w:tc>
        <w:tc>
          <w:tcPr>
            <w:tcW w:w="4992" w:type="dxa"/>
            <w:tcBorders>
              <w:top w:val="single" w:color="auto" w:sz="4" w:space="0"/>
              <w:bottom w:val="single" w:color="auto" w:sz="4" w:space="0"/>
            </w:tcBorders>
          </w:tcPr>
          <w:p>
            <w:pPr>
              <w:spacing w:line="500" w:lineRule="exact"/>
              <w:rPr>
                <w:sz w:val="28"/>
              </w:rPr>
            </w:pPr>
            <w:r>
              <w:rPr>
                <w:rFonts w:hint="eastAsia"/>
                <w:sz w:val="28"/>
              </w:rPr>
              <w:t>沈光宇、丁卫泽</w:t>
            </w:r>
          </w:p>
        </w:tc>
      </w:tr>
      <w:tr>
        <w:tblPrEx>
          <w:tblCellMar>
            <w:top w:w="0" w:type="dxa"/>
            <w:left w:w="108" w:type="dxa"/>
            <w:bottom w:w="0" w:type="dxa"/>
            <w:right w:w="108" w:type="dxa"/>
          </w:tblCellMar>
        </w:tblPrEx>
        <w:trPr>
          <w:trHeight w:val="570" w:hRule="atLeast"/>
        </w:trPr>
        <w:tc>
          <w:tcPr>
            <w:tcW w:w="3018" w:type="dxa"/>
            <w:vAlign w:val="center"/>
          </w:tcPr>
          <w:p>
            <w:pPr>
              <w:spacing w:line="500" w:lineRule="exact"/>
              <w:jc w:val="distribute"/>
              <w:rPr>
                <w:rFonts w:ascii="楷体_GB2312" w:eastAsia="楷体_GB2312"/>
                <w:b/>
                <w:bCs/>
                <w:sz w:val="28"/>
                <w:szCs w:val="28"/>
              </w:rPr>
            </w:pPr>
            <w:r>
              <w:rPr>
                <w:rFonts w:hint="eastAsia" w:ascii="楷体_GB2312" w:eastAsia="楷体_GB2312"/>
                <w:b/>
                <w:bCs/>
                <w:sz w:val="28"/>
                <w:szCs w:val="28"/>
              </w:rPr>
              <w:t>计划完成日期：</w:t>
            </w:r>
          </w:p>
        </w:tc>
        <w:tc>
          <w:tcPr>
            <w:tcW w:w="4992" w:type="dxa"/>
            <w:tcBorders>
              <w:top w:val="single" w:color="auto" w:sz="4" w:space="0"/>
              <w:bottom w:val="single" w:color="auto" w:sz="4" w:space="0"/>
            </w:tcBorders>
          </w:tcPr>
          <w:p>
            <w:pPr>
              <w:spacing w:line="500" w:lineRule="exact"/>
              <w:rPr>
                <w:sz w:val="28"/>
              </w:rPr>
            </w:pPr>
          </w:p>
        </w:tc>
      </w:tr>
      <w:tr>
        <w:tblPrEx>
          <w:tblCellMar>
            <w:top w:w="0" w:type="dxa"/>
            <w:left w:w="108" w:type="dxa"/>
            <w:bottom w:w="0" w:type="dxa"/>
            <w:right w:w="108" w:type="dxa"/>
          </w:tblCellMar>
        </w:tblPrEx>
        <w:trPr>
          <w:trHeight w:val="549" w:hRule="atLeast"/>
        </w:trPr>
        <w:tc>
          <w:tcPr>
            <w:tcW w:w="3018" w:type="dxa"/>
            <w:vAlign w:val="center"/>
          </w:tcPr>
          <w:p>
            <w:pPr>
              <w:spacing w:line="500" w:lineRule="exact"/>
              <w:jc w:val="distribute"/>
              <w:rPr>
                <w:rFonts w:ascii="楷体_GB2312" w:eastAsia="楷体_GB2312"/>
                <w:b/>
                <w:bCs/>
                <w:sz w:val="28"/>
                <w:szCs w:val="28"/>
              </w:rPr>
            </w:pPr>
            <w:r>
              <w:rPr>
                <w:rFonts w:hint="eastAsia" w:ascii="楷体_GB2312" w:eastAsia="楷体_GB2312"/>
                <w:b/>
                <w:bCs/>
                <w:sz w:val="28"/>
                <w:szCs w:val="28"/>
              </w:rPr>
              <w:t>申报单位：</w:t>
            </w:r>
          </w:p>
        </w:tc>
        <w:tc>
          <w:tcPr>
            <w:tcW w:w="4992" w:type="dxa"/>
            <w:tcBorders>
              <w:top w:val="single" w:color="auto" w:sz="4" w:space="0"/>
              <w:bottom w:val="single" w:color="auto" w:sz="4" w:space="0"/>
            </w:tcBorders>
          </w:tcPr>
          <w:p>
            <w:pPr>
              <w:spacing w:line="500" w:lineRule="exact"/>
              <w:rPr>
                <w:sz w:val="28"/>
              </w:rPr>
            </w:pPr>
            <w:r>
              <w:rPr>
                <w:rFonts w:hint="eastAsia"/>
                <w:sz w:val="28"/>
              </w:rPr>
              <w:t>健康医学院</w:t>
            </w:r>
          </w:p>
        </w:tc>
      </w:tr>
      <w:tr>
        <w:tblPrEx>
          <w:tblCellMar>
            <w:top w:w="0" w:type="dxa"/>
            <w:left w:w="108" w:type="dxa"/>
            <w:bottom w:w="0" w:type="dxa"/>
            <w:right w:w="108" w:type="dxa"/>
          </w:tblCellMar>
        </w:tblPrEx>
        <w:trPr>
          <w:trHeight w:val="610" w:hRule="atLeast"/>
        </w:trPr>
        <w:tc>
          <w:tcPr>
            <w:tcW w:w="3018" w:type="dxa"/>
            <w:vAlign w:val="center"/>
          </w:tcPr>
          <w:p>
            <w:pPr>
              <w:spacing w:line="500" w:lineRule="exact"/>
              <w:jc w:val="distribute"/>
              <w:rPr>
                <w:rFonts w:ascii="楷体_GB2312" w:eastAsia="楷体_GB2312"/>
                <w:b/>
                <w:bCs/>
                <w:sz w:val="28"/>
                <w:szCs w:val="28"/>
              </w:rPr>
            </w:pPr>
            <w:r>
              <w:rPr>
                <w:rFonts w:hint="eastAsia" w:ascii="楷体_GB2312" w:eastAsia="楷体_GB2312"/>
                <w:b/>
                <w:bCs/>
                <w:sz w:val="28"/>
                <w:szCs w:val="28"/>
              </w:rPr>
              <w:t>申报日期：</w:t>
            </w:r>
          </w:p>
        </w:tc>
        <w:tc>
          <w:tcPr>
            <w:tcW w:w="4992" w:type="dxa"/>
            <w:tcBorders>
              <w:top w:val="single" w:color="auto" w:sz="4" w:space="0"/>
              <w:bottom w:val="single" w:color="auto" w:sz="4" w:space="0"/>
            </w:tcBorders>
          </w:tcPr>
          <w:p>
            <w:pPr>
              <w:spacing w:line="500" w:lineRule="exact"/>
              <w:rPr>
                <w:sz w:val="28"/>
              </w:rPr>
            </w:pPr>
          </w:p>
        </w:tc>
      </w:tr>
    </w:tbl>
    <w:p>
      <w:pPr>
        <w:rPr>
          <w:sz w:val="32"/>
          <w:szCs w:val="32"/>
        </w:rPr>
      </w:pPr>
    </w:p>
    <w:p>
      <w:pPr>
        <w:rPr>
          <w:sz w:val="32"/>
          <w:szCs w:val="32"/>
        </w:rPr>
      </w:pPr>
    </w:p>
    <w:p>
      <w:pPr>
        <w:spacing w:line="800" w:lineRule="exact"/>
        <w:jc w:val="center"/>
        <w:rPr>
          <w:rFonts w:ascii="楷体_GB2312" w:eastAsia="楷体_GB2312"/>
          <w:b/>
          <w:sz w:val="36"/>
          <w:szCs w:val="36"/>
        </w:rPr>
      </w:pPr>
    </w:p>
    <w:p>
      <w:pPr>
        <w:jc w:val="center"/>
        <w:rPr>
          <w:rFonts w:ascii="仿宋_GB2312" w:eastAsia="仿宋_GB2312"/>
          <w:bCs/>
          <w:sz w:val="32"/>
          <w:szCs w:val="32"/>
        </w:rPr>
      </w:pP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p>
    <w:p>
      <w:pPr>
        <w:ind w:firstLine="560" w:firstLineChars="200"/>
        <w:rPr>
          <w:rFonts w:ascii="仿宋_GB2312" w:eastAsia="仿宋_GB2312"/>
          <w:sz w:val="28"/>
          <w:szCs w:val="28"/>
        </w:rPr>
      </w:pPr>
    </w:p>
    <w:p>
      <w:pPr>
        <w:rPr>
          <w:rFonts w:ascii="仿宋_GB2312" w:eastAsia="仿宋_GB2312"/>
          <w:b/>
          <w:sz w:val="28"/>
          <w:szCs w:val="28"/>
        </w:rPr>
      </w:pPr>
    </w:p>
    <w:p>
      <w:pPr>
        <w:rPr>
          <w:rFonts w:ascii="仿宋_GB2312" w:eastAsia="仿宋_GB2312"/>
          <w:b/>
          <w:sz w:val="28"/>
          <w:szCs w:val="28"/>
        </w:rPr>
      </w:pPr>
    </w:p>
    <w:p>
      <w:pPr>
        <w:rPr>
          <w:rFonts w:ascii="仿宋_GB2312" w:eastAsia="仿宋_GB2312"/>
          <w:sz w:val="28"/>
          <w:szCs w:val="28"/>
        </w:rPr>
      </w:pPr>
    </w:p>
    <w:p>
      <w:pPr>
        <w:rPr>
          <w:rFonts w:ascii="仿宋_GB2312" w:eastAsia="仿宋_GB2312"/>
          <w:sz w:val="28"/>
          <w:szCs w:val="28"/>
        </w:rPr>
      </w:pPr>
    </w:p>
    <w:p>
      <w:pPr>
        <w:spacing w:line="360" w:lineRule="auto"/>
        <w:jc w:val="left"/>
        <w:rPr>
          <w:rFonts w:ascii="仿宋_GB2312" w:hAnsi="宋体" w:eastAsia="仿宋_GB2312"/>
          <w:sz w:val="28"/>
          <w:szCs w:val="28"/>
        </w:rPr>
        <w:sectPr>
          <w:headerReference r:id="rId3" w:type="default"/>
          <w:footerReference r:id="rId4" w:type="even"/>
          <w:pgSz w:w="11906" w:h="16838"/>
          <w:pgMar w:top="820" w:right="1134" w:bottom="1134" w:left="1134" w:header="567" w:footer="754" w:gutter="0"/>
          <w:pgNumType w:fmt="upperRoman"/>
          <w:cols w:space="720" w:num="1"/>
          <w:docGrid w:type="lines" w:linePitch="312" w:charSpace="0"/>
        </w:sectPr>
      </w:pPr>
    </w:p>
    <w:p>
      <w:pPr>
        <w:rPr>
          <w:rFonts w:ascii="仿宋_GB2312" w:hAnsi="宋体" w:eastAsia="仿宋_GB2312"/>
          <w:b/>
          <w:bCs/>
          <w:sz w:val="28"/>
          <w:szCs w:val="28"/>
        </w:rPr>
      </w:pPr>
      <w:r>
        <w:rPr>
          <w:rFonts w:hint="eastAsia" w:ascii="仿宋_GB2312" w:hAnsi="宋体" w:eastAsia="仿宋_GB2312"/>
          <w:b/>
          <w:bCs/>
          <w:sz w:val="28"/>
          <w:szCs w:val="28"/>
        </w:rPr>
        <w:t>一、项目概述</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381"/>
        <w:gridCol w:w="421"/>
        <w:gridCol w:w="722"/>
        <w:gridCol w:w="501"/>
        <w:gridCol w:w="185"/>
        <w:gridCol w:w="515"/>
        <w:gridCol w:w="773"/>
        <w:gridCol w:w="256"/>
        <w:gridCol w:w="828"/>
        <w:gridCol w:w="887"/>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12" w:type="dxa"/>
            <w:vAlign w:val="center"/>
          </w:tcPr>
          <w:p>
            <w:pPr>
              <w:jc w:val="center"/>
              <w:rPr>
                <w:rFonts w:ascii="宋体" w:hAnsi="宋体"/>
                <w:b/>
                <w:bCs/>
                <w:szCs w:val="21"/>
              </w:rPr>
            </w:pPr>
            <w:r>
              <w:rPr>
                <w:rFonts w:hint="eastAsia" w:ascii="宋体" w:hAnsi="宋体"/>
                <w:b/>
                <w:bCs/>
                <w:szCs w:val="21"/>
              </w:rPr>
              <w:t>项目名称</w:t>
            </w:r>
          </w:p>
        </w:tc>
        <w:tc>
          <w:tcPr>
            <w:tcW w:w="8014" w:type="dxa"/>
            <w:gridSpan w:val="11"/>
          </w:tcPr>
          <w:p>
            <w:pPr>
              <w:jc w:val="center"/>
              <w:rPr>
                <w:rFonts w:ascii="宋体" w:hAnsi="宋体"/>
                <w:szCs w:val="21"/>
              </w:rPr>
            </w:pPr>
            <w:r>
              <w:rPr>
                <w:rFonts w:hint="eastAsia" w:ascii="仿宋_GB2312" w:hAnsi="宋体" w:eastAsia="仿宋_GB2312"/>
                <w:sz w:val="28"/>
                <w:szCs w:val="28"/>
              </w:rPr>
              <w:t>康复治疗实训中心（康复功能评定实训室，中医康复治疗实训室，物理因子治疗实训室，运动康复大厅，OT作业功能区，高频治疗实训室，康复工程实训室）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12" w:type="dxa"/>
            <w:vAlign w:val="center"/>
          </w:tcPr>
          <w:p>
            <w:pPr>
              <w:jc w:val="center"/>
              <w:rPr>
                <w:rFonts w:ascii="宋体" w:hAnsi="宋体"/>
                <w:b/>
                <w:bCs/>
                <w:szCs w:val="21"/>
              </w:rPr>
            </w:pPr>
            <w:r>
              <w:rPr>
                <w:rFonts w:hint="eastAsia" w:ascii="宋体" w:hAnsi="宋体"/>
                <w:b/>
                <w:bCs/>
                <w:szCs w:val="21"/>
              </w:rPr>
              <w:t>项目负责人</w:t>
            </w:r>
          </w:p>
        </w:tc>
        <w:tc>
          <w:tcPr>
            <w:tcW w:w="1802" w:type="dxa"/>
            <w:gridSpan w:val="2"/>
            <w:vAlign w:val="center"/>
          </w:tcPr>
          <w:p>
            <w:pPr>
              <w:jc w:val="center"/>
              <w:rPr>
                <w:rFonts w:ascii="宋体" w:hAnsi="宋体"/>
                <w:szCs w:val="21"/>
              </w:rPr>
            </w:pPr>
            <w:r>
              <w:rPr>
                <w:rFonts w:hint="eastAsia"/>
                <w:sz w:val="28"/>
              </w:rPr>
              <w:t>丁卫泽</w:t>
            </w:r>
          </w:p>
        </w:tc>
        <w:tc>
          <w:tcPr>
            <w:tcW w:w="722" w:type="dxa"/>
            <w:vAlign w:val="center"/>
          </w:tcPr>
          <w:p>
            <w:pPr>
              <w:jc w:val="center"/>
              <w:rPr>
                <w:rFonts w:ascii="宋体" w:hAnsi="宋体"/>
                <w:b/>
                <w:bCs/>
                <w:szCs w:val="21"/>
              </w:rPr>
            </w:pPr>
            <w:r>
              <w:rPr>
                <w:rFonts w:hint="eastAsia" w:ascii="宋体" w:hAnsi="宋体"/>
                <w:b/>
                <w:bCs/>
                <w:szCs w:val="21"/>
              </w:rPr>
              <w:t>职称</w:t>
            </w:r>
          </w:p>
        </w:tc>
        <w:tc>
          <w:tcPr>
            <w:tcW w:w="1201" w:type="dxa"/>
            <w:gridSpan w:val="3"/>
            <w:vAlign w:val="center"/>
          </w:tcPr>
          <w:p>
            <w:pPr>
              <w:jc w:val="center"/>
              <w:rPr>
                <w:rFonts w:ascii="宋体" w:hAnsi="宋体"/>
                <w:szCs w:val="21"/>
              </w:rPr>
            </w:pPr>
            <w:r>
              <w:rPr>
                <w:rFonts w:hint="eastAsia" w:ascii="宋体" w:hAnsi="宋体"/>
                <w:szCs w:val="21"/>
              </w:rPr>
              <w:t>教授</w:t>
            </w:r>
          </w:p>
        </w:tc>
        <w:tc>
          <w:tcPr>
            <w:tcW w:w="1029" w:type="dxa"/>
            <w:gridSpan w:val="2"/>
            <w:vAlign w:val="center"/>
          </w:tcPr>
          <w:p>
            <w:pPr>
              <w:jc w:val="center"/>
              <w:rPr>
                <w:rFonts w:ascii="宋体" w:hAnsi="宋体"/>
                <w:b/>
                <w:bCs/>
                <w:szCs w:val="21"/>
              </w:rPr>
            </w:pPr>
            <w:r>
              <w:rPr>
                <w:rFonts w:hint="eastAsia" w:ascii="宋体" w:hAnsi="宋体"/>
                <w:b/>
                <w:bCs/>
                <w:szCs w:val="21"/>
              </w:rPr>
              <w:t>职务</w:t>
            </w:r>
          </w:p>
        </w:tc>
        <w:tc>
          <w:tcPr>
            <w:tcW w:w="828" w:type="dxa"/>
            <w:vAlign w:val="center"/>
          </w:tcPr>
          <w:p>
            <w:pPr>
              <w:jc w:val="center"/>
              <w:rPr>
                <w:rFonts w:ascii="宋体" w:hAnsi="宋体"/>
                <w:szCs w:val="21"/>
              </w:rPr>
            </w:pPr>
            <w:r>
              <w:rPr>
                <w:rFonts w:hint="eastAsia" w:ascii="宋体" w:hAnsi="宋体"/>
                <w:szCs w:val="21"/>
              </w:rPr>
              <w:t>院长</w:t>
            </w:r>
          </w:p>
        </w:tc>
        <w:tc>
          <w:tcPr>
            <w:tcW w:w="887" w:type="dxa"/>
            <w:vAlign w:val="center"/>
          </w:tcPr>
          <w:p>
            <w:pPr>
              <w:jc w:val="center"/>
              <w:rPr>
                <w:rFonts w:ascii="宋体" w:hAnsi="宋体"/>
                <w:b/>
                <w:bCs/>
                <w:szCs w:val="21"/>
              </w:rPr>
            </w:pPr>
            <w:r>
              <w:rPr>
                <w:rFonts w:hint="eastAsia" w:ascii="宋体" w:hAnsi="宋体"/>
                <w:b/>
                <w:bCs/>
                <w:szCs w:val="21"/>
              </w:rPr>
              <w:t>电话</w:t>
            </w:r>
          </w:p>
        </w:tc>
        <w:tc>
          <w:tcPr>
            <w:tcW w:w="1545" w:type="dxa"/>
            <w:vAlign w:val="center"/>
          </w:tcPr>
          <w:p>
            <w:pPr>
              <w:jc w:val="center"/>
              <w:rPr>
                <w:rFonts w:ascii="宋体" w:hAnsi="宋体"/>
                <w:szCs w:val="21"/>
              </w:rPr>
            </w:pPr>
            <w:r>
              <w:rPr>
                <w:rFonts w:hint="eastAsia" w:ascii="宋体" w:hAnsi="宋体"/>
                <w:szCs w:val="21"/>
              </w:rPr>
              <w:t>18862960228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pPr>
              <w:jc w:val="center"/>
              <w:rPr>
                <w:rFonts w:ascii="宋体" w:hAnsi="宋体"/>
                <w:b/>
                <w:bCs/>
                <w:szCs w:val="21"/>
              </w:rPr>
            </w:pPr>
            <w:r>
              <w:rPr>
                <w:rFonts w:hint="eastAsia" w:ascii="宋体" w:hAnsi="宋体"/>
                <w:b/>
                <w:bCs/>
                <w:szCs w:val="21"/>
              </w:rPr>
              <w:t>项目类别</w:t>
            </w:r>
          </w:p>
        </w:tc>
        <w:tc>
          <w:tcPr>
            <w:tcW w:w="8014" w:type="dxa"/>
            <w:gridSpan w:val="11"/>
            <w:vAlign w:val="center"/>
          </w:tcPr>
          <w:p>
            <w:pPr>
              <w:jc w:val="center"/>
              <w:rPr>
                <w:rFonts w:ascii="宋体" w:hAnsi="宋体"/>
                <w:szCs w:val="21"/>
              </w:rPr>
            </w:pPr>
            <w:r>
              <w:rPr>
                <w:rFonts w:hint="eastAsia" w:ascii="宋体" w:hAnsi="宋体"/>
                <w:b/>
                <w:bCs/>
                <w:szCs w:val="21"/>
              </w:rPr>
              <w:t>基础□      专业□      新建□       改建□      扩建</w:t>
            </w:r>
            <w:r>
              <w:rPr>
                <w:rFonts w:hint="eastAsia" w:ascii="宋体" w:hAnsi="宋体"/>
                <w:b/>
                <w:bCs/>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pPr>
              <w:jc w:val="center"/>
              <w:rPr>
                <w:rFonts w:ascii="宋体" w:hAnsi="宋体"/>
                <w:b/>
                <w:bCs/>
                <w:szCs w:val="21"/>
              </w:rPr>
            </w:pPr>
            <w:r>
              <w:rPr>
                <w:rFonts w:hint="eastAsia" w:ascii="宋体" w:hAnsi="宋体"/>
                <w:b/>
                <w:bCs/>
                <w:szCs w:val="21"/>
              </w:rPr>
              <w:t>学年使用总人时数</w:t>
            </w:r>
          </w:p>
        </w:tc>
        <w:tc>
          <w:tcPr>
            <w:tcW w:w="1381" w:type="dxa"/>
            <w:vAlign w:val="center"/>
          </w:tcPr>
          <w:p>
            <w:pPr>
              <w:jc w:val="center"/>
              <w:rPr>
                <w:rFonts w:ascii="宋体" w:hAnsi="宋体"/>
                <w:b/>
                <w:bCs/>
                <w:szCs w:val="21"/>
              </w:rPr>
            </w:pPr>
            <w:r>
              <w:rPr>
                <w:sz w:val="24"/>
              </w:rPr>
              <w:t>25000</w:t>
            </w:r>
          </w:p>
        </w:tc>
        <w:tc>
          <w:tcPr>
            <w:tcW w:w="1644" w:type="dxa"/>
            <w:gridSpan w:val="3"/>
            <w:vAlign w:val="center"/>
          </w:tcPr>
          <w:p>
            <w:pPr>
              <w:jc w:val="center"/>
              <w:rPr>
                <w:rFonts w:ascii="宋体" w:hAnsi="宋体"/>
                <w:b/>
                <w:bCs/>
                <w:szCs w:val="21"/>
              </w:rPr>
            </w:pPr>
            <w:r>
              <w:rPr>
                <w:rFonts w:hint="eastAsia" w:ascii="宋体" w:hAnsi="宋体"/>
                <w:b/>
                <w:bCs/>
                <w:szCs w:val="21"/>
              </w:rPr>
              <w:t>学年可利用总人时数</w:t>
            </w:r>
          </w:p>
        </w:tc>
        <w:tc>
          <w:tcPr>
            <w:tcW w:w="1473" w:type="dxa"/>
            <w:gridSpan w:val="3"/>
            <w:vAlign w:val="center"/>
          </w:tcPr>
          <w:p>
            <w:pPr>
              <w:jc w:val="center"/>
              <w:rPr>
                <w:rFonts w:ascii="宋体" w:hAnsi="宋体"/>
                <w:b/>
                <w:bCs/>
                <w:szCs w:val="21"/>
              </w:rPr>
            </w:pPr>
            <w:r>
              <w:rPr>
                <w:rFonts w:hint="eastAsia"/>
                <w:sz w:val="24"/>
              </w:rPr>
              <w:t>30000</w:t>
            </w:r>
          </w:p>
        </w:tc>
        <w:tc>
          <w:tcPr>
            <w:tcW w:w="1084" w:type="dxa"/>
            <w:gridSpan w:val="2"/>
            <w:vAlign w:val="center"/>
          </w:tcPr>
          <w:p>
            <w:pPr>
              <w:jc w:val="center"/>
              <w:rPr>
                <w:rFonts w:ascii="宋体" w:hAnsi="宋体"/>
                <w:b/>
                <w:bCs/>
                <w:szCs w:val="21"/>
              </w:rPr>
            </w:pPr>
            <w:r>
              <w:rPr>
                <w:rFonts w:hint="eastAsia" w:ascii="宋体" w:hAnsi="宋体"/>
                <w:b/>
                <w:bCs/>
                <w:szCs w:val="21"/>
              </w:rPr>
              <w:t>设备利用率</w:t>
            </w:r>
          </w:p>
        </w:tc>
        <w:tc>
          <w:tcPr>
            <w:tcW w:w="2432" w:type="dxa"/>
            <w:gridSpan w:val="2"/>
            <w:vAlign w:val="center"/>
          </w:tcPr>
          <w:p>
            <w:pPr>
              <w:jc w:val="center"/>
              <w:rPr>
                <w:rFonts w:ascii="宋体" w:hAnsi="宋体"/>
                <w:b/>
                <w:bCs/>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pPr>
              <w:jc w:val="center"/>
              <w:rPr>
                <w:rFonts w:ascii="宋体" w:hAnsi="宋体"/>
                <w:b/>
                <w:bCs/>
                <w:szCs w:val="21"/>
              </w:rPr>
            </w:pPr>
            <w:r>
              <w:rPr>
                <w:rFonts w:hint="eastAsia" w:ascii="宋体" w:hAnsi="宋体"/>
                <w:b/>
                <w:bCs/>
                <w:szCs w:val="21"/>
              </w:rPr>
              <w:t>学年该实验学时数</w:t>
            </w:r>
          </w:p>
        </w:tc>
        <w:tc>
          <w:tcPr>
            <w:tcW w:w="1381" w:type="dxa"/>
            <w:vAlign w:val="center"/>
          </w:tcPr>
          <w:p>
            <w:pPr>
              <w:jc w:val="center"/>
              <w:rPr>
                <w:rFonts w:ascii="宋体" w:hAnsi="宋体"/>
                <w:b/>
                <w:bCs/>
                <w:szCs w:val="21"/>
              </w:rPr>
            </w:pPr>
            <w:r>
              <w:rPr>
                <w:rFonts w:hint="eastAsia"/>
                <w:sz w:val="24"/>
              </w:rPr>
              <w:t>60</w:t>
            </w:r>
          </w:p>
        </w:tc>
        <w:tc>
          <w:tcPr>
            <w:tcW w:w="1644" w:type="dxa"/>
            <w:gridSpan w:val="3"/>
            <w:vAlign w:val="center"/>
          </w:tcPr>
          <w:p>
            <w:pPr>
              <w:jc w:val="center"/>
              <w:rPr>
                <w:rFonts w:ascii="宋体" w:hAnsi="宋体"/>
                <w:b/>
                <w:bCs/>
                <w:szCs w:val="21"/>
              </w:rPr>
            </w:pPr>
            <w:r>
              <w:rPr>
                <w:rFonts w:hint="eastAsia" w:ascii="宋体" w:hAnsi="宋体"/>
                <w:b/>
                <w:bCs/>
                <w:szCs w:val="21"/>
              </w:rPr>
              <w:t>学年该实验室额定学时数</w:t>
            </w:r>
          </w:p>
        </w:tc>
        <w:tc>
          <w:tcPr>
            <w:tcW w:w="1473" w:type="dxa"/>
            <w:gridSpan w:val="3"/>
            <w:vAlign w:val="center"/>
          </w:tcPr>
          <w:p>
            <w:pPr>
              <w:jc w:val="center"/>
              <w:rPr>
                <w:rFonts w:ascii="宋体" w:hAnsi="宋体"/>
                <w:b/>
                <w:bCs/>
                <w:szCs w:val="21"/>
              </w:rPr>
            </w:pPr>
            <w:r>
              <w:rPr>
                <w:szCs w:val="21"/>
              </w:rPr>
              <w:t>960</w:t>
            </w:r>
          </w:p>
        </w:tc>
        <w:tc>
          <w:tcPr>
            <w:tcW w:w="1084" w:type="dxa"/>
            <w:gridSpan w:val="2"/>
            <w:vAlign w:val="center"/>
          </w:tcPr>
          <w:p>
            <w:pPr>
              <w:jc w:val="center"/>
              <w:rPr>
                <w:rFonts w:ascii="宋体" w:hAnsi="宋体"/>
                <w:b/>
                <w:bCs/>
                <w:szCs w:val="21"/>
              </w:rPr>
            </w:pPr>
            <w:r>
              <w:rPr>
                <w:rFonts w:hint="eastAsia" w:ascii="宋体" w:hAnsi="宋体"/>
                <w:b/>
                <w:bCs/>
                <w:szCs w:val="21"/>
              </w:rPr>
              <w:t>实验室利用率</w:t>
            </w:r>
          </w:p>
        </w:tc>
        <w:tc>
          <w:tcPr>
            <w:tcW w:w="2432" w:type="dxa"/>
            <w:gridSpan w:val="2"/>
            <w:vAlign w:val="center"/>
          </w:tcPr>
          <w:p>
            <w:pPr>
              <w:jc w:val="center"/>
              <w:rPr>
                <w:rFonts w:ascii="宋体" w:hAnsi="宋体"/>
                <w:b/>
                <w:bCs/>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pPr>
              <w:jc w:val="center"/>
              <w:rPr>
                <w:rFonts w:ascii="宋体" w:hAnsi="宋体"/>
                <w:b/>
                <w:bCs/>
                <w:szCs w:val="21"/>
              </w:rPr>
            </w:pPr>
            <w:r>
              <w:rPr>
                <w:rFonts w:hint="eastAsia" w:ascii="宋体" w:hAnsi="宋体"/>
                <w:b/>
                <w:bCs/>
                <w:szCs w:val="21"/>
              </w:rPr>
              <w:t>实验（训）室容纳人数</w:t>
            </w:r>
          </w:p>
        </w:tc>
        <w:tc>
          <w:tcPr>
            <w:tcW w:w="1381" w:type="dxa"/>
            <w:vAlign w:val="center"/>
          </w:tcPr>
          <w:p>
            <w:pPr>
              <w:jc w:val="center"/>
              <w:rPr>
                <w:rFonts w:ascii="宋体" w:hAnsi="宋体"/>
                <w:b/>
                <w:bCs/>
                <w:szCs w:val="21"/>
              </w:rPr>
            </w:pPr>
            <w:r>
              <w:rPr>
                <w:szCs w:val="21"/>
              </w:rPr>
              <w:t>40×2</w:t>
            </w:r>
          </w:p>
        </w:tc>
        <w:tc>
          <w:tcPr>
            <w:tcW w:w="1644" w:type="dxa"/>
            <w:gridSpan w:val="3"/>
            <w:vAlign w:val="center"/>
          </w:tcPr>
          <w:p>
            <w:pPr>
              <w:jc w:val="center"/>
              <w:rPr>
                <w:rFonts w:ascii="宋体" w:hAnsi="宋体"/>
                <w:b/>
                <w:bCs/>
                <w:szCs w:val="21"/>
              </w:rPr>
            </w:pPr>
            <w:r>
              <w:rPr>
                <w:rFonts w:hint="eastAsia" w:ascii="宋体" w:hAnsi="宋体"/>
                <w:b/>
                <w:bCs/>
                <w:szCs w:val="21"/>
              </w:rPr>
              <w:t>配备设备组数/每组学生人数</w:t>
            </w:r>
          </w:p>
        </w:tc>
        <w:tc>
          <w:tcPr>
            <w:tcW w:w="1473" w:type="dxa"/>
            <w:gridSpan w:val="3"/>
            <w:vAlign w:val="center"/>
          </w:tcPr>
          <w:p>
            <w:pPr>
              <w:jc w:val="center"/>
              <w:rPr>
                <w:rFonts w:ascii="宋体" w:hAnsi="宋体"/>
                <w:b/>
                <w:bCs/>
                <w:szCs w:val="21"/>
              </w:rPr>
            </w:pPr>
            <w:r>
              <w:rPr>
                <w:rFonts w:hint="eastAsia" w:ascii="仿宋_GB2312" w:hAnsi="宋体" w:eastAsia="仿宋_GB2312"/>
                <w:sz w:val="24"/>
              </w:rPr>
              <w:t>按实验项目确定</w:t>
            </w:r>
          </w:p>
        </w:tc>
        <w:tc>
          <w:tcPr>
            <w:tcW w:w="1084" w:type="dxa"/>
            <w:gridSpan w:val="2"/>
            <w:vAlign w:val="center"/>
          </w:tcPr>
          <w:p>
            <w:pPr>
              <w:jc w:val="center"/>
              <w:rPr>
                <w:rFonts w:ascii="宋体" w:hAnsi="宋体"/>
                <w:b/>
                <w:bCs/>
                <w:szCs w:val="21"/>
              </w:rPr>
            </w:pPr>
            <w:r>
              <w:rPr>
                <w:rFonts w:hint="eastAsia" w:ascii="宋体" w:hAnsi="宋体"/>
                <w:b/>
                <w:bCs/>
                <w:szCs w:val="21"/>
              </w:rPr>
              <w:t>主体设备台套数</w:t>
            </w:r>
          </w:p>
        </w:tc>
        <w:tc>
          <w:tcPr>
            <w:tcW w:w="2432" w:type="dxa"/>
            <w:gridSpan w:val="2"/>
            <w:vAlign w:val="center"/>
          </w:tcPr>
          <w:p>
            <w:pPr>
              <w:jc w:val="center"/>
              <w:rPr>
                <w:rFonts w:ascii="宋体" w:hAnsi="宋体"/>
                <w:b/>
                <w:bCs/>
                <w:szCs w:val="21"/>
              </w:rPr>
            </w:pPr>
            <w:r>
              <w:rPr>
                <w:rFonts w:hint="eastAsia"/>
                <w:sz w:val="24"/>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Merge w:val="restart"/>
            <w:vAlign w:val="center"/>
          </w:tcPr>
          <w:p>
            <w:pPr>
              <w:jc w:val="center"/>
              <w:rPr>
                <w:rFonts w:ascii="宋体" w:hAnsi="宋体"/>
                <w:b/>
                <w:bCs/>
                <w:szCs w:val="21"/>
              </w:rPr>
            </w:pPr>
            <w:r>
              <w:rPr>
                <w:rFonts w:hint="eastAsia" w:ascii="宋体" w:hAnsi="宋体"/>
                <w:b/>
                <w:bCs/>
                <w:szCs w:val="21"/>
              </w:rPr>
              <w:t>建设预算</w:t>
            </w:r>
          </w:p>
          <w:p>
            <w:pPr>
              <w:jc w:val="center"/>
              <w:rPr>
                <w:rFonts w:ascii="宋体" w:hAnsi="宋体"/>
                <w:b/>
                <w:bCs/>
                <w:szCs w:val="21"/>
              </w:rPr>
            </w:pPr>
            <w:r>
              <w:rPr>
                <w:rFonts w:hint="eastAsia" w:ascii="宋体" w:hAnsi="宋体"/>
                <w:b/>
                <w:bCs/>
                <w:szCs w:val="21"/>
              </w:rPr>
              <w:t>总金额</w:t>
            </w:r>
          </w:p>
        </w:tc>
        <w:tc>
          <w:tcPr>
            <w:tcW w:w="1802" w:type="dxa"/>
            <w:gridSpan w:val="2"/>
            <w:vMerge w:val="restart"/>
            <w:vAlign w:val="center"/>
          </w:tcPr>
          <w:p>
            <w:pPr>
              <w:jc w:val="right"/>
              <w:rPr>
                <w:rFonts w:ascii="宋体" w:hAnsi="宋体"/>
                <w:szCs w:val="21"/>
              </w:rPr>
            </w:pPr>
          </w:p>
        </w:tc>
        <w:tc>
          <w:tcPr>
            <w:tcW w:w="1408" w:type="dxa"/>
            <w:gridSpan w:val="3"/>
            <w:vMerge w:val="restart"/>
            <w:vAlign w:val="center"/>
          </w:tcPr>
          <w:p>
            <w:pPr>
              <w:jc w:val="center"/>
              <w:rPr>
                <w:rFonts w:ascii="宋体" w:hAnsi="宋体"/>
                <w:b/>
                <w:bCs/>
                <w:szCs w:val="21"/>
              </w:rPr>
            </w:pPr>
            <w:r>
              <w:rPr>
                <w:rFonts w:hint="eastAsia" w:ascii="宋体" w:hAnsi="宋体"/>
                <w:b/>
                <w:bCs/>
                <w:szCs w:val="21"/>
              </w:rPr>
              <w:t>实验（训）</w:t>
            </w:r>
          </w:p>
          <w:p>
            <w:pPr>
              <w:jc w:val="center"/>
              <w:rPr>
                <w:rFonts w:ascii="宋体" w:hAnsi="宋体"/>
                <w:szCs w:val="21"/>
              </w:rPr>
            </w:pPr>
            <w:r>
              <w:rPr>
                <w:rFonts w:hint="eastAsia" w:ascii="宋体" w:hAnsi="宋体"/>
                <w:b/>
                <w:bCs/>
                <w:szCs w:val="21"/>
              </w:rPr>
              <w:t>场地</w:t>
            </w:r>
          </w:p>
        </w:tc>
        <w:tc>
          <w:tcPr>
            <w:tcW w:w="2372" w:type="dxa"/>
            <w:gridSpan w:val="4"/>
            <w:vAlign w:val="center"/>
          </w:tcPr>
          <w:p>
            <w:pPr>
              <w:jc w:val="center"/>
              <w:rPr>
                <w:rFonts w:ascii="宋体" w:hAnsi="宋体"/>
                <w:b/>
                <w:bCs/>
                <w:szCs w:val="21"/>
              </w:rPr>
            </w:pPr>
            <w:r>
              <w:rPr>
                <w:rFonts w:hint="eastAsia" w:ascii="宋体" w:hAnsi="宋体"/>
                <w:b/>
                <w:bCs/>
                <w:szCs w:val="21"/>
              </w:rPr>
              <w:t>拟用地址</w:t>
            </w:r>
          </w:p>
        </w:tc>
        <w:tc>
          <w:tcPr>
            <w:tcW w:w="2432" w:type="dxa"/>
            <w:gridSpan w:val="2"/>
            <w:vAlign w:val="center"/>
          </w:tcPr>
          <w:p>
            <w:pPr>
              <w:jc w:val="center"/>
              <w:rPr>
                <w:rFonts w:ascii="宋体" w:hAnsi="宋体"/>
                <w:szCs w:val="21"/>
              </w:rPr>
            </w:pPr>
            <w:r>
              <w:rPr>
                <w:rFonts w:hint="eastAsia" w:ascii="宋体" w:hAnsi="宋体"/>
                <w:szCs w:val="21"/>
              </w:rPr>
              <w:t>健康医学院新大楼西侧</w:t>
            </w:r>
            <w:r>
              <w:rPr>
                <w:rFonts w:hint="eastAsia"/>
                <w:szCs w:val="21"/>
              </w:rPr>
              <w:t>6</w:t>
            </w:r>
            <w:r>
              <w:rPr>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Merge w:val="continue"/>
            <w:vAlign w:val="center"/>
          </w:tcPr>
          <w:p>
            <w:pPr>
              <w:jc w:val="center"/>
              <w:rPr>
                <w:rFonts w:ascii="宋体" w:hAnsi="宋体"/>
                <w:szCs w:val="21"/>
              </w:rPr>
            </w:pPr>
          </w:p>
        </w:tc>
        <w:tc>
          <w:tcPr>
            <w:tcW w:w="1802" w:type="dxa"/>
            <w:gridSpan w:val="2"/>
            <w:vMerge w:val="continue"/>
            <w:vAlign w:val="center"/>
          </w:tcPr>
          <w:p>
            <w:pPr>
              <w:jc w:val="center"/>
              <w:rPr>
                <w:rFonts w:ascii="宋体" w:hAnsi="宋体"/>
                <w:szCs w:val="21"/>
              </w:rPr>
            </w:pPr>
          </w:p>
        </w:tc>
        <w:tc>
          <w:tcPr>
            <w:tcW w:w="1408" w:type="dxa"/>
            <w:gridSpan w:val="3"/>
            <w:vMerge w:val="continue"/>
            <w:vAlign w:val="center"/>
          </w:tcPr>
          <w:p>
            <w:pPr>
              <w:jc w:val="center"/>
              <w:rPr>
                <w:rFonts w:ascii="宋体" w:hAnsi="宋体"/>
                <w:szCs w:val="21"/>
              </w:rPr>
            </w:pPr>
          </w:p>
        </w:tc>
        <w:tc>
          <w:tcPr>
            <w:tcW w:w="2372" w:type="dxa"/>
            <w:gridSpan w:val="4"/>
            <w:vAlign w:val="center"/>
          </w:tcPr>
          <w:p>
            <w:pPr>
              <w:jc w:val="center"/>
              <w:rPr>
                <w:rFonts w:ascii="宋体" w:hAnsi="宋体"/>
                <w:b/>
                <w:bCs/>
                <w:szCs w:val="21"/>
              </w:rPr>
            </w:pPr>
            <w:r>
              <w:rPr>
                <w:rFonts w:hint="eastAsia" w:ascii="宋体" w:hAnsi="宋体"/>
                <w:b/>
                <w:bCs/>
                <w:szCs w:val="21"/>
              </w:rPr>
              <w:t>面积需求</w:t>
            </w:r>
          </w:p>
        </w:tc>
        <w:tc>
          <w:tcPr>
            <w:tcW w:w="2432" w:type="dxa"/>
            <w:gridSpan w:val="2"/>
            <w:vAlign w:val="center"/>
          </w:tcPr>
          <w:p>
            <w:pPr>
              <w:ind w:right="480"/>
              <w:jc w:val="center"/>
              <w:rPr>
                <w:rFonts w:ascii="宋体" w:hAnsi="宋体"/>
                <w:szCs w:val="21"/>
                <w:vertAlign w:val="superscript"/>
              </w:rPr>
            </w:pPr>
            <w:r>
              <w:rPr>
                <w:sz w:val="24"/>
              </w:rPr>
              <w:t>624</w:t>
            </w:r>
            <w:r>
              <w:rPr>
                <w:rFonts w:hint="eastAsia"/>
                <w:sz w:val="24"/>
              </w:rPr>
              <w:t>m</w:t>
            </w:r>
            <w:r>
              <w:rPr>
                <w:rFonts w:hint="eastAsia"/>
                <w:sz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6" w:type="dxa"/>
            <w:gridSpan w:val="12"/>
            <w:tcBorders>
              <w:bottom w:val="dashed" w:color="auto" w:sz="4" w:space="0"/>
            </w:tcBorders>
            <w:vAlign w:val="center"/>
          </w:tcPr>
          <w:p>
            <w:pPr>
              <w:rPr>
                <w:rFonts w:ascii="宋体" w:hAnsi="宋体"/>
                <w:b/>
                <w:sz w:val="24"/>
              </w:rPr>
            </w:pPr>
            <w:r>
              <w:rPr>
                <w:rFonts w:hint="eastAsia" w:ascii="宋体" w:hAnsi="宋体"/>
                <w:b/>
                <w:sz w:val="24"/>
                <w:lang w:val="en-US" w:eastAsia="zh-CN"/>
              </w:rPr>
              <w:t>1</w:t>
            </w:r>
            <w:r>
              <w:rPr>
                <w:rFonts w:hint="eastAsia" w:ascii="宋体" w:hAnsi="宋体"/>
                <w:b/>
                <w:sz w:val="24"/>
              </w:rPr>
              <w:t>.项目建设可行性</w:t>
            </w:r>
          </w:p>
          <w:p>
            <w:pPr>
              <w:rPr>
                <w:rFonts w:ascii="仿宋_GB2312" w:eastAsia="仿宋_GB2312"/>
                <w:b/>
                <w:bCs/>
                <w:sz w:val="28"/>
                <w:szCs w:val="28"/>
              </w:rPr>
            </w:pPr>
            <w:r>
              <w:rPr>
                <w:rFonts w:hint="eastAsia" w:ascii="仿宋_GB2312" w:hAnsi="宋体" w:eastAsia="仿宋_GB2312"/>
                <w:szCs w:val="21"/>
              </w:rPr>
              <w:t>【主要包括用房、人员、设备利用率、实验室安全等，即在考虑教学组织形式、管理方式的基础上，就如何在设备选型、配置、建设进度安排方面综合考虑效益、效率和效果，提高投资效益和设备设施的利用率，同时对实验室安全进行说明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9626" w:type="dxa"/>
            <w:gridSpan w:val="12"/>
            <w:tcBorders>
              <w:top w:val="dashed" w:color="auto" w:sz="4" w:space="0"/>
            </w:tcBorders>
          </w:tcPr>
          <w:p>
            <w:pPr>
              <w:rPr>
                <w:rFonts w:ascii="宋体" w:hAnsi="宋体"/>
                <w:bCs/>
                <w:sz w:val="24"/>
              </w:rPr>
            </w:pPr>
            <w:r>
              <w:rPr>
                <w:rFonts w:hint="eastAsia" w:ascii="宋体" w:hAnsi="宋体"/>
                <w:bCs/>
                <w:sz w:val="24"/>
              </w:rPr>
              <w:t>（1）项目所需空间条件及具备情况（请说明具体实验室位置及用房面积、结构、环境设施、安全条件保障等情况）</w:t>
            </w:r>
          </w:p>
          <w:p>
            <w:pPr>
              <w:rPr>
                <w:rFonts w:hint="eastAsia" w:ascii="宋体" w:hAnsi="宋体"/>
                <w:bCs/>
                <w:sz w:val="24"/>
              </w:rPr>
            </w:pPr>
          </w:p>
          <w:p>
            <w:pPr>
              <w:ind w:firstLine="480" w:firstLineChars="200"/>
              <w:rPr>
                <w:rFonts w:ascii="宋体" w:hAnsi="宋体"/>
                <w:bCs/>
                <w:sz w:val="24"/>
              </w:rPr>
            </w:pPr>
            <w:r>
              <w:rPr>
                <w:rFonts w:hint="eastAsia" w:ascii="宋体" w:hAnsi="宋体"/>
                <w:bCs/>
                <w:sz w:val="24"/>
              </w:rPr>
              <w:t>本项目位于健康医学院实验大楼六楼西侧为康复治疗学实训中心。</w:t>
            </w:r>
          </w:p>
          <w:p>
            <w:pPr>
              <w:pStyle w:val="2"/>
            </w:pPr>
          </w:p>
          <w:p>
            <w:pPr>
              <w:numPr>
                <w:ilvl w:val="0"/>
                <w:numId w:val="1"/>
              </w:numPr>
              <w:rPr>
                <w:rFonts w:ascii="宋体" w:hAnsi="宋体"/>
                <w:bCs/>
                <w:sz w:val="24"/>
              </w:rPr>
            </w:pPr>
            <w:r>
              <w:rPr>
                <w:rFonts w:hint="eastAsia" w:ascii="宋体" w:hAnsi="宋体"/>
                <w:bCs/>
                <w:sz w:val="24"/>
              </w:rPr>
              <w:t>项目人员队伍配备（人员姓名、职务职称、学历、分工）</w:t>
            </w:r>
          </w:p>
          <w:p>
            <w:pPr>
              <w:rPr>
                <w:rFonts w:ascii="宋体" w:hAnsi="宋体"/>
                <w:bCs/>
                <w:sz w:val="24"/>
              </w:rPr>
            </w:pPr>
          </w:p>
          <w:tbl>
            <w:tblPr>
              <w:tblStyle w:val="7"/>
              <w:tblW w:w="9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3254"/>
              <w:gridCol w:w="1937"/>
              <w:gridCol w:w="2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6" w:type="dxa"/>
                </w:tcPr>
                <w:p>
                  <w:pPr>
                    <w:jc w:val="center"/>
                    <w:rPr>
                      <w:rFonts w:ascii="宋体" w:hAnsi="宋体" w:cs="宋体"/>
                      <w:szCs w:val="21"/>
                    </w:rPr>
                  </w:pPr>
                  <w:r>
                    <w:rPr>
                      <w:rFonts w:hint="eastAsia" w:ascii="宋体" w:hAnsi="宋体" w:cs="宋体"/>
                      <w:szCs w:val="21"/>
                    </w:rPr>
                    <w:t>人员姓名</w:t>
                  </w:r>
                </w:p>
              </w:tc>
              <w:tc>
                <w:tcPr>
                  <w:tcW w:w="3254" w:type="dxa"/>
                </w:tcPr>
                <w:p>
                  <w:pPr>
                    <w:jc w:val="center"/>
                    <w:rPr>
                      <w:rFonts w:ascii="宋体" w:hAnsi="宋体" w:cs="宋体"/>
                      <w:szCs w:val="21"/>
                    </w:rPr>
                  </w:pPr>
                  <w:r>
                    <w:rPr>
                      <w:rFonts w:hint="eastAsia" w:ascii="宋体" w:hAnsi="宋体" w:cs="宋体"/>
                      <w:szCs w:val="21"/>
                    </w:rPr>
                    <w:t>职务职称</w:t>
                  </w:r>
                </w:p>
              </w:tc>
              <w:tc>
                <w:tcPr>
                  <w:tcW w:w="1937" w:type="dxa"/>
                </w:tcPr>
                <w:p>
                  <w:pPr>
                    <w:jc w:val="center"/>
                    <w:rPr>
                      <w:rFonts w:ascii="宋体" w:hAnsi="宋体" w:cs="宋体"/>
                      <w:szCs w:val="21"/>
                    </w:rPr>
                  </w:pPr>
                  <w:r>
                    <w:rPr>
                      <w:rFonts w:hint="eastAsia" w:ascii="宋体" w:hAnsi="宋体" w:cs="宋体"/>
                      <w:szCs w:val="21"/>
                    </w:rPr>
                    <w:t>学历</w:t>
                  </w:r>
                </w:p>
              </w:tc>
              <w:tc>
                <w:tcPr>
                  <w:tcW w:w="2353" w:type="dxa"/>
                </w:tcPr>
                <w:p>
                  <w:pPr>
                    <w:jc w:val="center"/>
                    <w:rPr>
                      <w:rFonts w:ascii="宋体" w:hAnsi="宋体" w:cs="宋体"/>
                      <w:szCs w:val="21"/>
                    </w:rPr>
                  </w:pPr>
                  <w:r>
                    <w:rPr>
                      <w:rFonts w:hint="eastAsia" w:ascii="宋体" w:hAnsi="宋体" w:cs="宋体"/>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rPr>
                      <w:rFonts w:ascii="宋体" w:hAnsi="宋体" w:cs="宋体"/>
                      <w:szCs w:val="21"/>
                    </w:rPr>
                  </w:pPr>
                  <w:r>
                    <w:rPr>
                      <w:rFonts w:hint="eastAsia" w:ascii="宋体" w:hAnsi="宋体"/>
                      <w:bCs/>
                      <w:sz w:val="24"/>
                    </w:rPr>
                    <w:t>倪衡建</w:t>
                  </w:r>
                </w:p>
              </w:tc>
              <w:tc>
                <w:tcPr>
                  <w:tcW w:w="3254" w:type="dxa"/>
                </w:tcPr>
                <w:p>
                  <w:pPr>
                    <w:rPr>
                      <w:rFonts w:ascii="宋体" w:hAnsi="宋体" w:cs="宋体"/>
                      <w:szCs w:val="21"/>
                    </w:rPr>
                  </w:pPr>
                  <w:r>
                    <w:rPr>
                      <w:rFonts w:hint="eastAsia" w:ascii="宋体" w:hAnsi="宋体"/>
                      <w:bCs/>
                      <w:sz w:val="24"/>
                    </w:rPr>
                    <w:t>教授/院长</w:t>
                  </w:r>
                </w:p>
              </w:tc>
              <w:tc>
                <w:tcPr>
                  <w:tcW w:w="1937" w:type="dxa"/>
                </w:tcPr>
                <w:p>
                  <w:pPr>
                    <w:rPr>
                      <w:rFonts w:ascii="宋体" w:hAnsi="宋体" w:cs="宋体"/>
                      <w:szCs w:val="21"/>
                    </w:rPr>
                  </w:pPr>
                  <w:r>
                    <w:rPr>
                      <w:rFonts w:hint="eastAsia" w:ascii="宋体" w:hAnsi="宋体"/>
                      <w:bCs/>
                      <w:sz w:val="24"/>
                    </w:rPr>
                    <w:t>研究生</w:t>
                  </w:r>
                </w:p>
              </w:tc>
              <w:tc>
                <w:tcPr>
                  <w:tcW w:w="2353" w:type="dxa"/>
                </w:tcPr>
                <w:p>
                  <w:pPr>
                    <w:rPr>
                      <w:rFonts w:ascii="宋体" w:hAnsi="宋体" w:cs="宋体"/>
                      <w:szCs w:val="21"/>
                    </w:rPr>
                  </w:pPr>
                  <w:r>
                    <w:rPr>
                      <w:rFonts w:hint="eastAsia" w:ascii="宋体" w:hAnsi="宋体"/>
                      <w:bCs/>
                      <w:sz w:val="24"/>
                    </w:rPr>
                    <w:t>统筹设计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rPr>
                      <w:rFonts w:ascii="宋体" w:hAnsi="宋体"/>
                      <w:bCs/>
                      <w:sz w:val="24"/>
                    </w:rPr>
                  </w:pPr>
                  <w:r>
                    <w:rPr>
                      <w:rFonts w:hint="eastAsia" w:ascii="宋体" w:hAnsi="宋体"/>
                      <w:bCs/>
                      <w:sz w:val="24"/>
                    </w:rPr>
                    <w:t>丁卫泽</w:t>
                  </w:r>
                </w:p>
              </w:tc>
              <w:tc>
                <w:tcPr>
                  <w:tcW w:w="3254" w:type="dxa"/>
                </w:tcPr>
                <w:p>
                  <w:pPr>
                    <w:rPr>
                      <w:rFonts w:ascii="宋体" w:hAnsi="宋体"/>
                      <w:bCs/>
                      <w:sz w:val="24"/>
                    </w:rPr>
                  </w:pPr>
                  <w:r>
                    <w:rPr>
                      <w:rFonts w:hint="eastAsia" w:ascii="宋体" w:hAnsi="宋体"/>
                      <w:bCs/>
                      <w:sz w:val="24"/>
                    </w:rPr>
                    <w:t>教授/副院长</w:t>
                  </w:r>
                </w:p>
              </w:tc>
              <w:tc>
                <w:tcPr>
                  <w:tcW w:w="1937" w:type="dxa"/>
                </w:tcPr>
                <w:p>
                  <w:pPr>
                    <w:rPr>
                      <w:rFonts w:ascii="宋体" w:hAnsi="宋体"/>
                      <w:bCs/>
                      <w:sz w:val="24"/>
                    </w:rPr>
                  </w:pPr>
                  <w:r>
                    <w:rPr>
                      <w:rFonts w:hint="eastAsia" w:ascii="宋体" w:hAnsi="宋体"/>
                      <w:bCs/>
                      <w:sz w:val="24"/>
                    </w:rPr>
                    <w:t>研究生</w:t>
                  </w:r>
                </w:p>
              </w:tc>
              <w:tc>
                <w:tcPr>
                  <w:tcW w:w="2353" w:type="dxa"/>
                </w:tcPr>
                <w:p>
                  <w:pPr>
                    <w:rPr>
                      <w:rFonts w:ascii="宋体" w:hAnsi="宋体"/>
                      <w:bCs/>
                      <w:sz w:val="24"/>
                    </w:rPr>
                  </w:pPr>
                  <w:r>
                    <w:rPr>
                      <w:rFonts w:hint="eastAsia" w:ascii="宋体" w:hAnsi="宋体"/>
                      <w:bCs/>
                      <w:sz w:val="24"/>
                    </w:rPr>
                    <w:t>统筹设计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rPr>
                      <w:rFonts w:ascii="宋体" w:hAnsi="宋体"/>
                      <w:bCs/>
                      <w:sz w:val="24"/>
                    </w:rPr>
                  </w:pPr>
                  <w:r>
                    <w:rPr>
                      <w:rFonts w:hint="eastAsia" w:ascii="宋体" w:hAnsi="宋体"/>
                      <w:bCs/>
                      <w:sz w:val="24"/>
                    </w:rPr>
                    <w:t>缪亚东</w:t>
                  </w:r>
                </w:p>
              </w:tc>
              <w:tc>
                <w:tcPr>
                  <w:tcW w:w="3254" w:type="dxa"/>
                </w:tcPr>
                <w:p>
                  <w:pPr>
                    <w:rPr>
                      <w:rFonts w:ascii="宋体" w:hAnsi="宋体"/>
                      <w:bCs/>
                      <w:sz w:val="24"/>
                    </w:rPr>
                  </w:pPr>
                  <w:r>
                    <w:rPr>
                      <w:rFonts w:hint="eastAsia" w:ascii="宋体" w:hAnsi="宋体"/>
                      <w:bCs/>
                      <w:sz w:val="24"/>
                    </w:rPr>
                    <w:t>副教授/副院长</w:t>
                  </w:r>
                </w:p>
              </w:tc>
              <w:tc>
                <w:tcPr>
                  <w:tcW w:w="1937" w:type="dxa"/>
                </w:tcPr>
                <w:p>
                  <w:pPr>
                    <w:rPr>
                      <w:rFonts w:ascii="宋体" w:hAnsi="宋体"/>
                      <w:bCs/>
                      <w:sz w:val="24"/>
                    </w:rPr>
                  </w:pPr>
                  <w:r>
                    <w:rPr>
                      <w:rFonts w:hint="eastAsia" w:ascii="宋体" w:hAnsi="宋体"/>
                      <w:bCs/>
                      <w:sz w:val="24"/>
                    </w:rPr>
                    <w:t>研究生</w:t>
                  </w:r>
                </w:p>
              </w:tc>
              <w:tc>
                <w:tcPr>
                  <w:tcW w:w="2353" w:type="dxa"/>
                </w:tcPr>
                <w:p>
                  <w:pPr>
                    <w:rPr>
                      <w:rFonts w:ascii="宋体" w:hAnsi="宋体"/>
                      <w:bCs/>
                      <w:sz w:val="24"/>
                    </w:rPr>
                  </w:pPr>
                  <w:r>
                    <w:rPr>
                      <w:rFonts w:hint="eastAsia" w:ascii="宋体" w:hAnsi="宋体"/>
                      <w:bCs/>
                      <w:sz w:val="24"/>
                    </w:rPr>
                    <w:t>统筹安排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rPr>
                      <w:rFonts w:ascii="宋体" w:hAnsi="宋体"/>
                      <w:bCs/>
                      <w:sz w:val="24"/>
                    </w:rPr>
                  </w:pPr>
                  <w:r>
                    <w:rPr>
                      <w:rFonts w:hint="eastAsia" w:ascii="宋体" w:hAnsi="宋体"/>
                      <w:bCs/>
                      <w:sz w:val="24"/>
                    </w:rPr>
                    <w:t>沈光宇</w:t>
                  </w:r>
                </w:p>
              </w:tc>
              <w:tc>
                <w:tcPr>
                  <w:tcW w:w="3254" w:type="dxa"/>
                </w:tcPr>
                <w:p>
                  <w:pPr>
                    <w:rPr>
                      <w:rFonts w:ascii="宋体" w:hAnsi="宋体"/>
                      <w:bCs/>
                      <w:sz w:val="24"/>
                    </w:rPr>
                  </w:pPr>
                  <w:r>
                    <w:rPr>
                      <w:rFonts w:hint="eastAsia" w:ascii="宋体" w:hAnsi="宋体"/>
                      <w:bCs/>
                      <w:sz w:val="24"/>
                    </w:rPr>
                    <w:t>教授/康复治疗学学科带头人</w:t>
                  </w:r>
                </w:p>
              </w:tc>
              <w:tc>
                <w:tcPr>
                  <w:tcW w:w="1937" w:type="dxa"/>
                </w:tcPr>
                <w:p>
                  <w:pPr>
                    <w:rPr>
                      <w:rFonts w:ascii="宋体" w:hAnsi="宋体"/>
                      <w:bCs/>
                      <w:sz w:val="24"/>
                    </w:rPr>
                  </w:pPr>
                  <w:r>
                    <w:rPr>
                      <w:rFonts w:hint="eastAsia" w:ascii="宋体" w:hAnsi="宋体"/>
                      <w:bCs/>
                      <w:sz w:val="24"/>
                    </w:rPr>
                    <w:t>研究生</w:t>
                  </w:r>
                </w:p>
              </w:tc>
              <w:tc>
                <w:tcPr>
                  <w:tcW w:w="2353" w:type="dxa"/>
                </w:tcPr>
                <w:p>
                  <w:pPr>
                    <w:rPr>
                      <w:rFonts w:ascii="宋体" w:hAnsi="宋体"/>
                      <w:bCs/>
                      <w:sz w:val="24"/>
                    </w:rPr>
                  </w:pPr>
                  <w:r>
                    <w:rPr>
                      <w:rFonts w:hint="eastAsia" w:ascii="宋体" w:hAnsi="宋体"/>
                      <w:bCs/>
                      <w:sz w:val="24"/>
                    </w:rPr>
                    <w:t>统筹安排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pPr>
                    <w:rPr>
                      <w:rFonts w:ascii="宋体" w:hAnsi="宋体"/>
                      <w:bCs/>
                      <w:sz w:val="24"/>
                    </w:rPr>
                  </w:pPr>
                  <w:r>
                    <w:rPr>
                      <w:rFonts w:hint="eastAsia" w:ascii="宋体" w:hAnsi="宋体"/>
                      <w:bCs/>
                      <w:sz w:val="24"/>
                    </w:rPr>
                    <w:t>王荣</w:t>
                  </w:r>
                </w:p>
              </w:tc>
              <w:tc>
                <w:tcPr>
                  <w:tcW w:w="3254" w:type="dxa"/>
                </w:tcPr>
                <w:p>
                  <w:pPr>
                    <w:rPr>
                      <w:rFonts w:ascii="宋体" w:hAnsi="宋体"/>
                      <w:bCs/>
                      <w:sz w:val="24"/>
                    </w:rPr>
                  </w:pPr>
                  <w:r>
                    <w:rPr>
                      <w:rFonts w:hint="eastAsia" w:ascii="宋体" w:hAnsi="宋体"/>
                      <w:bCs/>
                      <w:sz w:val="24"/>
                    </w:rPr>
                    <w:t>其他副高级/教研室主任</w:t>
                  </w:r>
                </w:p>
              </w:tc>
              <w:tc>
                <w:tcPr>
                  <w:tcW w:w="1937" w:type="dxa"/>
                </w:tcPr>
                <w:p>
                  <w:pPr>
                    <w:rPr>
                      <w:rFonts w:ascii="宋体" w:hAnsi="宋体"/>
                      <w:bCs/>
                      <w:sz w:val="24"/>
                    </w:rPr>
                  </w:pPr>
                  <w:r>
                    <w:rPr>
                      <w:rFonts w:hint="eastAsia" w:ascii="宋体" w:hAnsi="宋体"/>
                      <w:bCs/>
                      <w:sz w:val="24"/>
                    </w:rPr>
                    <w:t>研究生</w:t>
                  </w:r>
                </w:p>
              </w:tc>
              <w:tc>
                <w:tcPr>
                  <w:tcW w:w="2353" w:type="dxa"/>
                </w:tcPr>
                <w:p>
                  <w:pPr>
                    <w:rPr>
                      <w:rFonts w:ascii="宋体" w:hAnsi="宋体"/>
                      <w:bCs/>
                      <w:sz w:val="24"/>
                    </w:rPr>
                  </w:pPr>
                  <w:r>
                    <w:rPr>
                      <w:rFonts w:hint="eastAsia" w:ascii="宋体" w:hAnsi="宋体"/>
                      <w:bCs/>
                      <w:sz w:val="24"/>
                    </w:rPr>
                    <w:t>布局设计</w:t>
                  </w:r>
                </w:p>
              </w:tc>
            </w:tr>
          </w:tbl>
          <w:p>
            <w:pPr>
              <w:rPr>
                <w:rFonts w:ascii="宋体" w:hAnsi="宋体"/>
                <w:bCs/>
                <w:sz w:val="24"/>
              </w:rPr>
            </w:pPr>
          </w:p>
          <w:p>
            <w:pPr>
              <w:rPr>
                <w:rFonts w:ascii="宋体" w:hAnsi="宋体"/>
                <w:bCs/>
                <w:sz w:val="24"/>
              </w:rPr>
            </w:pPr>
            <w:r>
              <w:rPr>
                <w:rFonts w:hint="eastAsia" w:ascii="宋体" w:hAnsi="宋体"/>
                <w:bCs/>
                <w:sz w:val="24"/>
              </w:rPr>
              <w:t>（3）项目建设的其它必备条件及具备情况。</w:t>
            </w:r>
          </w:p>
          <w:p>
            <w:pPr>
              <w:rPr>
                <w:rFonts w:ascii="宋体" w:hAnsi="宋体"/>
                <w:bCs/>
                <w:sz w:val="24"/>
              </w:rPr>
            </w:pPr>
          </w:p>
          <w:p>
            <w:pPr>
              <w:ind w:firstLine="240" w:firstLineChars="100"/>
              <w:rPr>
                <w:rFonts w:ascii="宋体" w:hAnsi="宋体"/>
                <w:bCs/>
                <w:sz w:val="24"/>
              </w:rPr>
            </w:pPr>
            <w:r>
              <w:rPr>
                <w:rFonts w:hint="eastAsia" w:ascii="宋体" w:hAnsi="宋体"/>
                <w:bCs/>
                <w:sz w:val="24"/>
              </w:rPr>
              <w:t>现有房间基础设施已达要求。</w:t>
            </w:r>
          </w:p>
          <w:p>
            <w:pP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9626" w:type="dxa"/>
            <w:gridSpan w:val="12"/>
            <w:tcBorders>
              <w:bottom w:val="dashed" w:color="auto" w:sz="4" w:space="0"/>
            </w:tcBorders>
            <w:vAlign w:val="center"/>
          </w:tcPr>
          <w:p>
            <w:pPr>
              <w:rPr>
                <w:rFonts w:ascii="宋体" w:hAnsi="宋体"/>
                <w:szCs w:val="21"/>
              </w:rPr>
            </w:pPr>
            <w:r>
              <w:rPr>
                <w:rFonts w:hint="eastAsia" w:ascii="宋体" w:hAnsi="宋体"/>
                <w:b/>
                <w:sz w:val="24"/>
                <w:lang w:val="en-US" w:eastAsia="zh-CN"/>
              </w:rPr>
              <w:t>2</w:t>
            </w:r>
            <w:r>
              <w:rPr>
                <w:rFonts w:hint="eastAsia" w:ascii="宋体" w:hAnsi="宋体"/>
                <w:b/>
                <w:sz w:val="24"/>
              </w:rPr>
              <w:t>.建设目标</w:t>
            </w:r>
          </w:p>
          <w:p>
            <w:pPr>
              <w:rPr>
                <w:rFonts w:ascii="仿宋_GB2312" w:hAnsi="宋体" w:eastAsia="仿宋_GB2312"/>
                <w:sz w:val="24"/>
              </w:rPr>
            </w:pPr>
            <w:r>
              <w:rPr>
                <w:rFonts w:hint="eastAsia" w:ascii="仿宋_GB2312" w:hAnsi="宋体" w:eastAsia="仿宋_GB2312"/>
                <w:szCs w:val="21"/>
              </w:rPr>
              <w:t>【建设的预期目标，是要能够满足教学的多样性需求：如建成后实验室所具有的功能、地位、作用等，对学科专业建设的支撑作用；服务学院、专业（名称及数量）、学生（数量）的情况；为以后的教学研究提供保障和可持续发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9626" w:type="dxa"/>
            <w:gridSpan w:val="12"/>
            <w:tcBorders>
              <w:top w:val="dashed" w:color="auto" w:sz="4" w:space="0"/>
              <w:bottom w:val="single" w:color="auto" w:sz="4" w:space="0"/>
            </w:tcBorders>
          </w:tcPr>
          <w:p>
            <w:pPr>
              <w:rPr>
                <w:rFonts w:ascii="宋体" w:hAnsi="宋体"/>
                <w:bCs/>
                <w:sz w:val="24"/>
              </w:rPr>
            </w:pPr>
          </w:p>
          <w:p>
            <w:pPr>
              <w:spacing w:line="480" w:lineRule="exact"/>
              <w:ind w:firstLine="480" w:firstLineChars="200"/>
              <w:rPr>
                <w:rFonts w:ascii="宋体" w:hAnsi="宋体" w:cs="宋体"/>
                <w:sz w:val="24"/>
              </w:rPr>
            </w:pPr>
            <w:r>
              <w:rPr>
                <w:rFonts w:hint="eastAsia" w:ascii="宋体" w:hAnsi="宋体" w:cs="宋体"/>
                <w:sz w:val="24"/>
              </w:rPr>
              <w:t>建设实训基地的原则之一是资源共享，实现设备利用最大化，故在设置实训中心时，尽量将护理学、健康服务与管理专业的实验室和康复治疗的实验室在不影响专业实训的基础上合并开展。且实训中心的设备应实用且符合目前医院的实际应用，保证在未来3-5年内不落后。</w:t>
            </w:r>
          </w:p>
          <w:p>
            <w:pPr>
              <w:spacing w:line="480" w:lineRule="exact"/>
              <w:ind w:firstLine="480" w:firstLineChars="200"/>
              <w:rPr>
                <w:rFonts w:ascii="宋体" w:hAnsi="宋体" w:cs="宋体"/>
                <w:sz w:val="24"/>
              </w:rPr>
            </w:pPr>
            <w:r>
              <w:rPr>
                <w:rFonts w:hint="eastAsia" w:ascii="宋体" w:hAnsi="宋体" w:cs="宋体"/>
                <w:sz w:val="24"/>
              </w:rPr>
              <w:t xml:space="preserve">计划利用8间实验室，大部分实验室功能可与护理学或健康服务与管理专业共享。实训中心建设后，将安排人员统一管理实验室，保证实验设备的使用规范和安全，将合理排班管理实验室。课程安排错开使用实验室的班级，并按照学院实验室开放使用管理办法进行开放。多重安全保障，保证实验室的安全。          </w:t>
            </w:r>
          </w:p>
          <w:p>
            <w:pPr>
              <w:spacing w:line="480" w:lineRule="exact"/>
              <w:ind w:firstLine="480" w:firstLineChars="200"/>
              <w:rPr>
                <w:rFonts w:ascii="宋体" w:hAnsi="宋体" w:cs="宋体"/>
                <w:sz w:val="24"/>
              </w:rPr>
            </w:pPr>
            <w:r>
              <w:rPr>
                <w:rFonts w:hint="eastAsia" w:ascii="宋体" w:hAnsi="宋体" w:cs="宋体"/>
                <w:sz w:val="24"/>
              </w:rPr>
              <w:t>建设目标：</w:t>
            </w:r>
          </w:p>
          <w:p>
            <w:pPr>
              <w:spacing w:line="480" w:lineRule="exact"/>
              <w:ind w:firstLine="480" w:firstLineChars="200"/>
              <w:rPr>
                <w:rFonts w:ascii="宋体" w:hAnsi="宋体" w:cs="宋体"/>
                <w:sz w:val="24"/>
              </w:rPr>
            </w:pPr>
            <w:r>
              <w:rPr>
                <w:rFonts w:hint="eastAsia" w:ascii="宋体" w:hAnsi="宋体" w:cs="宋体"/>
                <w:sz w:val="24"/>
              </w:rPr>
              <w:t>1.实训中心的建设将满足本科人才康复治疗学实训中心建设标准且保证验收合格。</w:t>
            </w:r>
          </w:p>
          <w:p>
            <w:pPr>
              <w:spacing w:line="480" w:lineRule="exact"/>
              <w:ind w:firstLine="480" w:firstLineChars="200"/>
              <w:rPr>
                <w:rFonts w:ascii="宋体" w:hAnsi="宋体" w:cs="宋体"/>
                <w:sz w:val="24"/>
              </w:rPr>
            </w:pPr>
            <w:r>
              <w:rPr>
                <w:rFonts w:hint="eastAsia" w:ascii="宋体" w:hAnsi="宋体" w:cs="宋体"/>
                <w:sz w:val="24"/>
              </w:rPr>
              <w:t>2.专业课的实验开出率，达到教学计划和大纲规定的100%。</w:t>
            </w:r>
          </w:p>
          <w:p>
            <w:pPr>
              <w:spacing w:line="480" w:lineRule="exact"/>
              <w:ind w:firstLine="480" w:firstLineChars="200"/>
              <w:rPr>
                <w:rFonts w:ascii="宋体" w:hAnsi="宋体" w:cs="宋体"/>
                <w:sz w:val="24"/>
              </w:rPr>
            </w:pPr>
            <w:r>
              <w:rPr>
                <w:rFonts w:hint="eastAsia" w:ascii="宋体" w:hAnsi="宋体" w:cs="宋体"/>
                <w:sz w:val="24"/>
              </w:rPr>
              <w:t>3.专业实验课的教学与目前医院康复科或康复机构的实际情况接轨。</w:t>
            </w:r>
          </w:p>
          <w:p>
            <w:pPr>
              <w:spacing w:line="480" w:lineRule="exact"/>
              <w:ind w:firstLine="480" w:firstLineChars="200"/>
              <w:rPr>
                <w:rFonts w:ascii="宋体" w:hAnsi="宋体" w:cs="宋体"/>
                <w:sz w:val="24"/>
              </w:rPr>
            </w:pPr>
            <w:r>
              <w:rPr>
                <w:rFonts w:hint="eastAsia" w:ascii="宋体" w:hAnsi="宋体" w:cs="宋体"/>
                <w:sz w:val="24"/>
              </w:rPr>
              <w:t>4.落成“产-学-研”三结合型实验基地，发挥设备作用，促进科研产出。</w:t>
            </w:r>
          </w:p>
          <w:p>
            <w:pPr>
              <w:spacing w:line="480" w:lineRule="exact"/>
              <w:ind w:firstLine="480" w:firstLineChars="200"/>
              <w:rPr>
                <w:rFonts w:ascii="宋体" w:hAnsi="宋体" w:cs="宋体"/>
                <w:sz w:val="24"/>
              </w:rPr>
            </w:pPr>
            <w:r>
              <w:rPr>
                <w:rFonts w:hint="eastAsia" w:ascii="宋体" w:hAnsi="宋体" w:cs="宋体"/>
                <w:sz w:val="24"/>
              </w:rPr>
              <w:t>5.与医院建立合作，挂牌医院康复科，实施产教融合。</w:t>
            </w:r>
          </w:p>
          <w:p>
            <w:pPr>
              <w:spacing w:line="480" w:lineRule="exact"/>
              <w:ind w:firstLine="480" w:firstLineChars="200"/>
              <w:rPr>
                <w:rFonts w:ascii="宋体" w:hAnsi="宋体" w:cs="宋体"/>
                <w:sz w:val="24"/>
              </w:rPr>
            </w:pPr>
            <w:r>
              <w:rPr>
                <w:rFonts w:hint="eastAsia" w:ascii="宋体" w:hAnsi="宋体" w:cs="宋体"/>
                <w:sz w:val="24"/>
              </w:rPr>
              <w:t>6.实训中心将完成以下项目的实训：</w:t>
            </w:r>
          </w:p>
          <w:p>
            <w:pPr>
              <w:spacing w:line="480" w:lineRule="exact"/>
              <w:ind w:firstLine="480" w:firstLineChars="200"/>
              <w:rPr>
                <w:rFonts w:ascii="宋体" w:hAnsi="宋体" w:cs="宋体"/>
                <w:sz w:val="24"/>
              </w:rPr>
            </w:pPr>
            <w:r>
              <w:rPr>
                <w:rFonts w:hint="eastAsia" w:ascii="宋体" w:hAnsi="宋体" w:cs="宋体"/>
                <w:sz w:val="24"/>
              </w:rPr>
              <w:t>《康复工程学》，16课时；《运动学》18学时；《物理治疗学》32课时；《作业疗法》54课时；《言语治疗学》8学时；《康复功能评定》36学时；《康复工程学》16课时；《心肺疾病康复学》16课时；《神经康复学》32课时；《运动学》18学时；《作业疗法学》54学时；《物理治疗学》64学时；《中国传统康复学》24学时；《内科学》32学时；《外科学》32学时；《儿科学》12学时；《康复医学概论》12学时；《康复心理学》6学时；《骨关节病康复学》16学时；《神经康复学》32学时。</w:t>
            </w:r>
          </w:p>
          <w:p>
            <w:pPr>
              <w:numPr>
                <w:ilvl w:val="0"/>
                <w:numId w:val="2"/>
              </w:numPr>
              <w:spacing w:line="480" w:lineRule="exact"/>
              <w:ind w:firstLine="480" w:firstLineChars="200"/>
              <w:rPr>
                <w:rFonts w:ascii="宋体" w:hAnsi="宋体" w:cs="宋体"/>
                <w:sz w:val="24"/>
              </w:rPr>
            </w:pPr>
            <w:r>
              <w:rPr>
                <w:rFonts w:hint="eastAsia" w:ascii="宋体" w:hAnsi="宋体" w:cs="宋体"/>
                <w:sz w:val="24"/>
              </w:rPr>
              <w:t>进行开放性、创新性实验的设置。</w:t>
            </w:r>
          </w:p>
          <w:p>
            <w:pPr>
              <w:numPr>
                <w:ilvl w:val="0"/>
                <w:numId w:val="2"/>
              </w:numPr>
              <w:spacing w:line="360" w:lineRule="auto"/>
              <w:ind w:firstLine="480" w:firstLineChars="200"/>
              <w:rPr>
                <w:rFonts w:ascii="宋体" w:hAnsi="宋体" w:cs="宋体"/>
                <w:bCs/>
                <w:sz w:val="24"/>
              </w:rPr>
            </w:pPr>
            <w:r>
              <w:rPr>
                <w:rFonts w:hint="eastAsia" w:ascii="宋体" w:hAnsi="宋体" w:cs="宋体"/>
                <w:sz w:val="24"/>
              </w:rPr>
              <w:t>本次建设设备详见附表。</w:t>
            </w:r>
          </w:p>
          <w:p>
            <w:pPr>
              <w:rPr>
                <w:rFonts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3" w:hRule="atLeast"/>
          <w:jc w:val="center"/>
        </w:trPr>
        <w:tc>
          <w:tcPr>
            <w:tcW w:w="9626" w:type="dxa"/>
            <w:gridSpan w:val="12"/>
            <w:tcBorders>
              <w:top w:val="single" w:color="auto" w:sz="4" w:space="0"/>
              <w:bottom w:val="single" w:color="auto" w:sz="4" w:space="0"/>
            </w:tcBorders>
          </w:tcPr>
          <w:p>
            <w:pPr>
              <w:rPr>
                <w:rFonts w:ascii="宋体" w:hAnsi="宋体"/>
                <w:szCs w:val="21"/>
              </w:rPr>
            </w:pPr>
            <w:r>
              <w:rPr>
                <w:rFonts w:hint="eastAsia" w:ascii="宋体" w:hAnsi="宋体"/>
                <w:b/>
                <w:sz w:val="24"/>
                <w:lang w:val="en-US" w:eastAsia="zh-CN"/>
              </w:rPr>
              <w:t>3</w:t>
            </w:r>
            <w:r>
              <w:rPr>
                <w:rFonts w:hint="eastAsia" w:ascii="宋体" w:hAnsi="宋体"/>
                <w:b/>
                <w:sz w:val="24"/>
              </w:rPr>
              <w:t>.实验室可开出的实验项目名称</w:t>
            </w:r>
          </w:p>
          <w:p>
            <w:pPr>
              <w:rPr>
                <w:rFonts w:ascii="仿宋_GB2312" w:hAnsi="宋体" w:eastAsia="仿宋_GB2312"/>
                <w:szCs w:val="21"/>
              </w:rPr>
            </w:pPr>
            <w:r>
              <w:rPr>
                <w:rFonts w:hint="eastAsia" w:ascii="仿宋_GB2312" w:hAnsi="宋体" w:eastAsia="仿宋_GB2312"/>
                <w:szCs w:val="21"/>
              </w:rPr>
              <w:t>【建成后实验室可开出的实验项目。】</w:t>
            </w:r>
          </w:p>
          <w:tbl>
            <w:tblPr>
              <w:tblStyle w:val="7"/>
              <w:tblW w:w="6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5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spacing w:line="360" w:lineRule="auto"/>
                    <w:jc w:val="center"/>
                    <w:rPr>
                      <w:rFonts w:ascii="宋体" w:hAnsi="宋体" w:cs="宋体"/>
                      <w:b/>
                      <w:bCs/>
                      <w:sz w:val="24"/>
                    </w:rPr>
                  </w:pPr>
                  <w:r>
                    <w:rPr>
                      <w:rFonts w:hint="eastAsia" w:ascii="宋体" w:hAnsi="宋体" w:cs="宋体"/>
                      <w:b/>
                      <w:bCs/>
                      <w:sz w:val="24"/>
                    </w:rPr>
                    <w:t>序号</w:t>
                  </w:r>
                </w:p>
              </w:tc>
              <w:tc>
                <w:tcPr>
                  <w:tcW w:w="5756" w:type="dxa"/>
                </w:tcPr>
                <w:p>
                  <w:pPr>
                    <w:spacing w:line="360" w:lineRule="auto"/>
                    <w:jc w:val="center"/>
                    <w:rPr>
                      <w:rFonts w:ascii="宋体" w:hAnsi="宋体" w:cs="宋体"/>
                      <w:b/>
                      <w:bCs/>
                      <w:sz w:val="24"/>
                    </w:rPr>
                  </w:pPr>
                  <w:r>
                    <w:rPr>
                      <w:rFonts w:hint="eastAsia" w:ascii="宋体" w:hAnsi="宋体" w:cs="宋体"/>
                      <w:b/>
                      <w:bCs/>
                      <w:sz w:val="24"/>
                    </w:rPr>
                    <w:t>实验项目名称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功能解剖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运动学分析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发育学基础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康复评定操作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运动治疗、物理因子治疗操作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作业治疗操作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中医康复操作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言语活资料操作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运动治疗、感统治疗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内科疾病康复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外科疾病康复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骨关节肌肉相关疾病康复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康复相关疾病概述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神经相关疾病康复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pPr>
                    <w:numPr>
                      <w:ilvl w:val="0"/>
                      <w:numId w:val="3"/>
                    </w:numPr>
                    <w:spacing w:line="360" w:lineRule="auto"/>
                    <w:rPr>
                      <w:rFonts w:ascii="宋体" w:hAnsi="宋体" w:cs="宋体"/>
                      <w:sz w:val="24"/>
                    </w:rPr>
                  </w:pPr>
                </w:p>
              </w:tc>
              <w:tc>
                <w:tcPr>
                  <w:tcW w:w="5756" w:type="dxa"/>
                  <w:vAlign w:val="center"/>
                </w:tcPr>
                <w:p>
                  <w:pPr>
                    <w:spacing w:line="360" w:lineRule="auto"/>
                    <w:jc w:val="center"/>
                    <w:rPr>
                      <w:rFonts w:ascii="宋体" w:hAnsi="宋体" w:cs="宋体"/>
                      <w:sz w:val="24"/>
                    </w:rPr>
                  </w:pPr>
                  <w:r>
                    <w:rPr>
                      <w:rFonts w:hint="eastAsia" w:ascii="宋体" w:hAnsi="宋体" w:cs="宋体"/>
                      <w:sz w:val="24"/>
                    </w:rPr>
                    <w:t>重症疾病康复</w:t>
                  </w:r>
                </w:p>
              </w:tc>
            </w:tr>
          </w:tbl>
          <w:p>
            <w:pPr>
              <w:rPr>
                <w:rFonts w:ascii="仿宋_GB2312" w:hAnsi="宋体" w:eastAsia="仿宋_GB2312"/>
                <w:szCs w:val="21"/>
              </w:rPr>
            </w:pPr>
          </w:p>
          <w:p>
            <w:pPr>
              <w:rPr>
                <w:rFonts w:ascii="宋体" w:hAnsi="宋体"/>
                <w:bCs/>
                <w:sz w:val="24"/>
              </w:rPr>
            </w:pPr>
          </w:p>
        </w:tc>
      </w:tr>
    </w:tbl>
    <w:p>
      <w:pPr>
        <w:rPr>
          <w:rFonts w:ascii="仿宋_GB2312" w:eastAsia="仿宋_GB2312"/>
          <w:b/>
          <w:bCs/>
          <w:sz w:val="28"/>
          <w:szCs w:val="28"/>
        </w:rPr>
      </w:pPr>
      <w:r>
        <w:rPr>
          <w:rFonts w:hint="eastAsia" w:ascii="仿宋_GB2312" w:eastAsia="仿宋_GB2312"/>
          <w:b/>
          <w:bCs/>
          <w:sz w:val="28"/>
          <w:szCs w:val="28"/>
        </w:rPr>
        <w:t>二、项目建设的预期效益</w:t>
      </w:r>
    </w:p>
    <w:p>
      <w:pPr>
        <w:spacing w:before="156" w:beforeLines="50" w:after="156" w:afterLines="50"/>
        <w:ind w:firstLine="482" w:firstLineChars="200"/>
        <w:rPr>
          <w:rFonts w:ascii="宋体" w:hAnsi="宋体"/>
          <w:b/>
          <w:bCs/>
          <w:sz w:val="20"/>
          <w:szCs w:val="20"/>
        </w:rPr>
      </w:pPr>
      <w:r>
        <w:rPr>
          <w:rFonts w:hint="eastAsia" w:ascii="宋体" w:hAnsi="宋体"/>
          <w:b/>
          <w:bCs/>
          <w:sz w:val="24"/>
        </w:rPr>
        <w:t>1.实验（训）教学</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1169"/>
        <w:gridCol w:w="931"/>
        <w:gridCol w:w="1406"/>
        <w:gridCol w:w="1450"/>
        <w:gridCol w:w="1073"/>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036" w:type="dxa"/>
            <w:vAlign w:val="center"/>
          </w:tcPr>
          <w:p>
            <w:pPr>
              <w:jc w:val="center"/>
              <w:rPr>
                <w:rFonts w:ascii="宋体" w:hAnsi="宋体"/>
                <w:b/>
                <w:szCs w:val="21"/>
              </w:rPr>
            </w:pPr>
            <w:r>
              <w:rPr>
                <w:rFonts w:hint="eastAsia" w:ascii="宋体" w:hAnsi="宋体"/>
                <w:b/>
                <w:szCs w:val="21"/>
              </w:rPr>
              <w:t>实验（训）项目名称</w:t>
            </w:r>
          </w:p>
        </w:tc>
        <w:tc>
          <w:tcPr>
            <w:tcW w:w="1169" w:type="dxa"/>
            <w:vAlign w:val="center"/>
          </w:tcPr>
          <w:p>
            <w:pPr>
              <w:jc w:val="center"/>
              <w:rPr>
                <w:rFonts w:ascii="宋体" w:hAnsi="宋体"/>
                <w:b/>
                <w:szCs w:val="21"/>
              </w:rPr>
            </w:pPr>
            <w:r>
              <w:rPr>
                <w:rFonts w:hint="eastAsia" w:ascii="宋体" w:hAnsi="宋体"/>
                <w:b/>
                <w:szCs w:val="21"/>
              </w:rPr>
              <w:t>项目类型</w:t>
            </w:r>
          </w:p>
        </w:tc>
        <w:tc>
          <w:tcPr>
            <w:tcW w:w="931" w:type="dxa"/>
            <w:vAlign w:val="center"/>
          </w:tcPr>
          <w:p>
            <w:pPr>
              <w:jc w:val="center"/>
              <w:rPr>
                <w:rFonts w:ascii="宋体" w:hAnsi="宋体"/>
                <w:b/>
                <w:szCs w:val="21"/>
              </w:rPr>
            </w:pPr>
            <w:r>
              <w:rPr>
                <w:rFonts w:hint="eastAsia" w:ascii="宋体" w:hAnsi="宋体"/>
                <w:b/>
                <w:szCs w:val="21"/>
              </w:rPr>
              <w:t>计划学时数</w:t>
            </w:r>
          </w:p>
        </w:tc>
        <w:tc>
          <w:tcPr>
            <w:tcW w:w="1406" w:type="dxa"/>
            <w:vAlign w:val="center"/>
          </w:tcPr>
          <w:p>
            <w:pPr>
              <w:jc w:val="center"/>
              <w:rPr>
                <w:rFonts w:ascii="宋体" w:hAnsi="宋体"/>
                <w:b/>
                <w:szCs w:val="21"/>
              </w:rPr>
            </w:pPr>
            <w:r>
              <w:rPr>
                <w:rFonts w:hint="eastAsia" w:ascii="宋体" w:hAnsi="宋体"/>
                <w:b/>
                <w:szCs w:val="21"/>
              </w:rPr>
              <w:t>课程名称</w:t>
            </w:r>
          </w:p>
        </w:tc>
        <w:tc>
          <w:tcPr>
            <w:tcW w:w="1450" w:type="dxa"/>
            <w:vAlign w:val="center"/>
          </w:tcPr>
          <w:p>
            <w:pPr>
              <w:jc w:val="center"/>
              <w:rPr>
                <w:rFonts w:ascii="宋体" w:hAnsi="宋体"/>
                <w:b/>
                <w:szCs w:val="21"/>
              </w:rPr>
            </w:pPr>
            <w:r>
              <w:rPr>
                <w:rFonts w:hint="eastAsia" w:ascii="宋体" w:hAnsi="宋体"/>
                <w:b/>
                <w:szCs w:val="21"/>
              </w:rPr>
              <w:t>学年实</w:t>
            </w:r>
          </w:p>
          <w:p>
            <w:pPr>
              <w:jc w:val="center"/>
              <w:rPr>
                <w:rFonts w:ascii="宋体" w:hAnsi="宋体"/>
                <w:b/>
                <w:szCs w:val="21"/>
              </w:rPr>
            </w:pPr>
            <w:r>
              <w:rPr>
                <w:rFonts w:hint="eastAsia" w:ascii="宋体" w:hAnsi="宋体"/>
                <w:b/>
                <w:szCs w:val="21"/>
              </w:rPr>
              <w:t>验（训）人数</w:t>
            </w:r>
          </w:p>
        </w:tc>
        <w:tc>
          <w:tcPr>
            <w:tcW w:w="1073" w:type="dxa"/>
            <w:vAlign w:val="center"/>
          </w:tcPr>
          <w:p>
            <w:pPr>
              <w:jc w:val="center"/>
              <w:rPr>
                <w:rFonts w:ascii="宋体" w:hAnsi="宋体"/>
                <w:b/>
                <w:szCs w:val="21"/>
              </w:rPr>
            </w:pPr>
            <w:r>
              <w:rPr>
                <w:rFonts w:hint="eastAsia" w:ascii="宋体" w:hAnsi="宋体"/>
                <w:b/>
                <w:szCs w:val="21"/>
              </w:rPr>
              <w:t>学年使用人时数</w:t>
            </w:r>
          </w:p>
        </w:tc>
        <w:tc>
          <w:tcPr>
            <w:tcW w:w="1161" w:type="dxa"/>
            <w:vAlign w:val="center"/>
          </w:tcPr>
          <w:p>
            <w:pPr>
              <w:jc w:val="center"/>
              <w:rPr>
                <w:rFonts w:ascii="宋体" w:hAnsi="宋体"/>
                <w:b/>
                <w:szCs w:val="21"/>
              </w:rPr>
            </w:pPr>
            <w:r>
              <w:rPr>
                <w:rFonts w:hint="eastAsia" w:ascii="宋体" w:hAnsi="宋体"/>
                <w:b/>
                <w:szCs w:val="21"/>
              </w:rPr>
              <w:t>面向专业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功能解剖</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功能解剖</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24</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《人体解剖学》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3456</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健康服务与管理，康复治疗学，护理学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运动学分析</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运动学分析</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18</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《运动学》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2592</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发育学基础</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发育学基础</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16</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《康复工程学》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2304</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康复评定操作</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康复评定操作</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36</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《康复功能评定》</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5184</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运动治疗、物理因子治疗操作</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运动治疗、物理因子治疗操作</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64</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《物理治疗学》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9216</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作业治疗操作</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作业治疗操作</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54</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《作业疗法学》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7776</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中医康复操作</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中医康复操作</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24</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《中国传统康复学》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3456</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言语</w:t>
            </w:r>
            <w:r>
              <w:rPr>
                <w:rFonts w:hint="eastAsia" w:asciiTheme="minorEastAsia" w:hAnsiTheme="minorEastAsia" w:eastAsiaTheme="minorEastAsia"/>
                <w:sz w:val="24"/>
              </w:rPr>
              <w:t>治疗</w:t>
            </w:r>
            <w:r>
              <w:rPr>
                <w:rFonts w:asciiTheme="minorEastAsia" w:hAnsiTheme="minorEastAsia" w:eastAsiaTheme="minorEastAsia"/>
                <w:sz w:val="24"/>
              </w:rPr>
              <w:t>操作</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言语</w:t>
            </w:r>
            <w:r>
              <w:rPr>
                <w:rFonts w:hint="eastAsia" w:asciiTheme="minorEastAsia" w:hAnsiTheme="minorEastAsia" w:eastAsiaTheme="minorEastAsia"/>
                <w:sz w:val="24"/>
              </w:rPr>
              <w:t>治疗</w:t>
            </w:r>
            <w:r>
              <w:rPr>
                <w:rFonts w:asciiTheme="minorEastAsia" w:hAnsiTheme="minorEastAsia" w:eastAsiaTheme="minorEastAsia"/>
                <w:sz w:val="24"/>
              </w:rPr>
              <w:t>操作</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8</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《言语治疗学》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1152</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运动治疗、感统治疗</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运动治疗、感统治疗</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12</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《儿科学》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1728</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内科疾病康复</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内科疾病康复</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32</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《内科学》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4608</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外科疾病康复</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外科疾病康复</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32</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《外科学》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4608</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骨关节肌肉相关疾病康复</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骨关节肌肉相关疾病康复</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16</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《骨关节病康复学》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2304</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康复相关疾病概述</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康复相关疾病概述</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12</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《康复医学概论》</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1728</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康复治疗学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神经相关疾病康复</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神经相关疾病康复</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32</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《神经康复学》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4608</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健康服务与管理，康复治疗学，护理学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重症疾病康复</w:t>
            </w:r>
          </w:p>
        </w:tc>
        <w:tc>
          <w:tcPr>
            <w:tcW w:w="1169"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重症疾病康复</w:t>
            </w:r>
          </w:p>
        </w:tc>
        <w:tc>
          <w:tcPr>
            <w:tcW w:w="93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16</w:t>
            </w:r>
          </w:p>
        </w:tc>
        <w:tc>
          <w:tcPr>
            <w:tcW w:w="1406"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《心肺疾病康复学》</w:t>
            </w:r>
          </w:p>
        </w:tc>
        <w:tc>
          <w:tcPr>
            <w:tcW w:w="145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97-144</w:t>
            </w:r>
          </w:p>
        </w:tc>
        <w:tc>
          <w:tcPr>
            <w:tcW w:w="107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2304</w:t>
            </w:r>
          </w:p>
        </w:tc>
        <w:tc>
          <w:tcPr>
            <w:tcW w:w="11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健康服务与管理，康复治疗学，护理学</w:t>
            </w:r>
          </w:p>
        </w:tc>
      </w:tr>
    </w:tbl>
    <w:p>
      <w:pPr>
        <w:pStyle w:val="2"/>
        <w:ind w:left="0" w:firstLine="0"/>
      </w:pPr>
    </w:p>
    <w:p>
      <w:pPr>
        <w:rPr>
          <w:rFonts w:ascii="宋体" w:hAnsi="宋体"/>
        </w:rPr>
      </w:pPr>
      <w:r>
        <w:rPr>
          <w:rFonts w:hint="eastAsia" w:ascii="宋体" w:hAnsi="宋体"/>
        </w:rPr>
        <w:t>【项目类型为验证、综合、设计性。在实验（训）项目设置上要尽量减少不必要的验证性实验（训）项目，综合性、设计性和创新性实验（训）项目要占一定的比例，保证实验（训）项目开出率达到100%。】</w:t>
      </w:r>
    </w:p>
    <w:p>
      <w:pPr>
        <w:spacing w:before="156" w:beforeLines="50" w:after="156" w:afterLines="50"/>
        <w:ind w:firstLine="482" w:firstLineChars="200"/>
        <w:rPr>
          <w:rFonts w:ascii="宋体" w:hAnsi="宋体"/>
          <w:b/>
          <w:bCs/>
          <w:sz w:val="24"/>
        </w:rPr>
      </w:pPr>
    </w:p>
    <w:p>
      <w:pPr>
        <w:spacing w:before="156" w:beforeLines="50" w:after="156" w:afterLines="50"/>
        <w:ind w:firstLine="482" w:firstLineChars="200"/>
        <w:rPr>
          <w:rFonts w:ascii="宋体" w:hAnsi="宋体"/>
          <w:b/>
          <w:bCs/>
          <w:sz w:val="24"/>
        </w:rPr>
      </w:pPr>
    </w:p>
    <w:p>
      <w:pPr>
        <w:spacing w:before="156" w:beforeLines="50" w:after="156" w:afterLines="50"/>
        <w:ind w:firstLine="482" w:firstLineChars="200"/>
        <w:rPr>
          <w:rFonts w:ascii="宋体" w:hAnsi="宋体"/>
          <w:b/>
          <w:bCs/>
          <w:sz w:val="24"/>
        </w:rPr>
      </w:pPr>
    </w:p>
    <w:p>
      <w:pPr>
        <w:spacing w:before="156" w:beforeLines="50" w:after="156" w:afterLines="50"/>
        <w:ind w:firstLine="482" w:firstLineChars="200"/>
        <w:rPr>
          <w:rFonts w:ascii="宋体" w:hAnsi="宋体"/>
          <w:b/>
          <w:bCs/>
          <w:sz w:val="24"/>
        </w:rPr>
      </w:pPr>
    </w:p>
    <w:p>
      <w:pPr>
        <w:spacing w:before="156" w:beforeLines="50" w:after="156" w:afterLines="50"/>
        <w:ind w:firstLine="482" w:firstLineChars="200"/>
        <w:rPr>
          <w:rFonts w:ascii="宋体" w:hAnsi="宋体"/>
          <w:b/>
          <w:bCs/>
          <w:sz w:val="24"/>
        </w:rPr>
      </w:pPr>
      <w:r>
        <w:rPr>
          <w:rFonts w:hint="eastAsia" w:ascii="宋体" w:hAnsi="宋体"/>
          <w:b/>
          <w:bCs/>
          <w:sz w:val="24"/>
        </w:rPr>
        <w:t>2.科学研究</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950"/>
        <w:gridCol w:w="2013"/>
        <w:gridCol w:w="2023"/>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802" w:type="dxa"/>
            <w:vAlign w:val="center"/>
          </w:tcPr>
          <w:p>
            <w:pPr>
              <w:jc w:val="center"/>
              <w:rPr>
                <w:rFonts w:ascii="宋体" w:hAnsi="宋体"/>
                <w:b/>
                <w:szCs w:val="21"/>
              </w:rPr>
            </w:pPr>
            <w:r>
              <w:rPr>
                <w:rFonts w:hint="eastAsia" w:ascii="宋体" w:hAnsi="宋体"/>
                <w:b/>
                <w:szCs w:val="21"/>
              </w:rPr>
              <w:t>序号</w:t>
            </w:r>
          </w:p>
        </w:tc>
        <w:tc>
          <w:tcPr>
            <w:tcW w:w="1950" w:type="dxa"/>
            <w:vAlign w:val="center"/>
          </w:tcPr>
          <w:p>
            <w:pPr>
              <w:jc w:val="center"/>
              <w:rPr>
                <w:rFonts w:ascii="宋体" w:hAnsi="宋体"/>
                <w:b/>
                <w:szCs w:val="21"/>
              </w:rPr>
            </w:pPr>
            <w:r>
              <w:rPr>
                <w:rFonts w:hint="eastAsia" w:ascii="宋体" w:hAnsi="宋体"/>
                <w:b/>
                <w:szCs w:val="21"/>
              </w:rPr>
              <w:t>科研主要方向</w:t>
            </w:r>
          </w:p>
        </w:tc>
        <w:tc>
          <w:tcPr>
            <w:tcW w:w="2013" w:type="dxa"/>
            <w:vAlign w:val="center"/>
          </w:tcPr>
          <w:p>
            <w:pPr>
              <w:jc w:val="center"/>
              <w:rPr>
                <w:rFonts w:ascii="宋体" w:hAnsi="宋体"/>
                <w:b/>
                <w:szCs w:val="21"/>
              </w:rPr>
            </w:pPr>
            <w:r>
              <w:rPr>
                <w:rFonts w:hint="eastAsia" w:ascii="宋体" w:hAnsi="宋体"/>
                <w:b/>
                <w:szCs w:val="21"/>
              </w:rPr>
              <w:t>科研实验项目</w:t>
            </w:r>
          </w:p>
        </w:tc>
        <w:tc>
          <w:tcPr>
            <w:tcW w:w="2023" w:type="dxa"/>
            <w:vAlign w:val="center"/>
          </w:tcPr>
          <w:p>
            <w:pPr>
              <w:jc w:val="center"/>
              <w:rPr>
                <w:rFonts w:ascii="宋体" w:hAnsi="宋体"/>
                <w:b/>
                <w:szCs w:val="21"/>
              </w:rPr>
            </w:pPr>
            <w:r>
              <w:rPr>
                <w:rFonts w:hint="eastAsia" w:ascii="宋体" w:hAnsi="宋体"/>
                <w:b/>
                <w:szCs w:val="21"/>
              </w:rPr>
              <w:t>课题来源</w:t>
            </w:r>
          </w:p>
        </w:tc>
        <w:tc>
          <w:tcPr>
            <w:tcW w:w="1872" w:type="dxa"/>
            <w:vAlign w:val="center"/>
          </w:tcPr>
          <w:p>
            <w:pPr>
              <w:jc w:val="center"/>
              <w:rPr>
                <w:rFonts w:ascii="宋体" w:hAnsi="宋体"/>
                <w:b/>
                <w:szCs w:val="21"/>
              </w:rPr>
            </w:pPr>
            <w:r>
              <w:rPr>
                <w:rFonts w:hint="eastAsia" w:ascii="宋体" w:hAnsi="宋体"/>
                <w:b/>
                <w:szCs w:val="21"/>
              </w:rPr>
              <w:t>学年使用人时数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950"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康复治疗技术改良</w:t>
            </w:r>
          </w:p>
        </w:tc>
        <w:tc>
          <w:tcPr>
            <w:tcW w:w="2013" w:type="dxa"/>
            <w:vAlign w:val="center"/>
          </w:tcPr>
          <w:p>
            <w:pPr>
              <w:jc w:val="center"/>
              <w:rPr>
                <w:rFonts w:ascii="宋体" w:hAnsi="宋体"/>
                <w:szCs w:val="21"/>
              </w:rPr>
            </w:pPr>
          </w:p>
        </w:tc>
        <w:tc>
          <w:tcPr>
            <w:tcW w:w="2023" w:type="dxa"/>
            <w:vAlign w:val="center"/>
          </w:tcPr>
          <w:p>
            <w:pPr>
              <w:jc w:val="center"/>
              <w:rPr>
                <w:rFonts w:ascii="宋体" w:hAnsi="宋体"/>
                <w:szCs w:val="21"/>
              </w:rPr>
            </w:pPr>
          </w:p>
        </w:tc>
        <w:tc>
          <w:tcPr>
            <w:tcW w:w="1872"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950"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康复治疗对各种病症的效果</w:t>
            </w:r>
          </w:p>
        </w:tc>
        <w:tc>
          <w:tcPr>
            <w:tcW w:w="2013" w:type="dxa"/>
            <w:vAlign w:val="center"/>
          </w:tcPr>
          <w:p>
            <w:pPr>
              <w:jc w:val="center"/>
              <w:rPr>
                <w:rFonts w:ascii="宋体" w:hAnsi="宋体"/>
                <w:szCs w:val="21"/>
              </w:rPr>
            </w:pPr>
          </w:p>
        </w:tc>
        <w:tc>
          <w:tcPr>
            <w:tcW w:w="2023" w:type="dxa"/>
            <w:vAlign w:val="center"/>
          </w:tcPr>
          <w:p>
            <w:pPr>
              <w:jc w:val="center"/>
              <w:rPr>
                <w:rFonts w:ascii="宋体" w:hAnsi="宋体"/>
                <w:szCs w:val="21"/>
              </w:rPr>
            </w:pPr>
          </w:p>
        </w:tc>
        <w:tc>
          <w:tcPr>
            <w:tcW w:w="1872"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1950"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康复治疗疗效对比</w:t>
            </w:r>
          </w:p>
        </w:tc>
        <w:tc>
          <w:tcPr>
            <w:tcW w:w="2013" w:type="dxa"/>
            <w:vAlign w:val="center"/>
          </w:tcPr>
          <w:p>
            <w:pPr>
              <w:jc w:val="center"/>
              <w:rPr>
                <w:rFonts w:ascii="宋体" w:hAnsi="宋体"/>
                <w:szCs w:val="21"/>
              </w:rPr>
            </w:pPr>
          </w:p>
        </w:tc>
        <w:tc>
          <w:tcPr>
            <w:tcW w:w="2023" w:type="dxa"/>
            <w:vAlign w:val="center"/>
          </w:tcPr>
          <w:p>
            <w:pPr>
              <w:jc w:val="center"/>
              <w:rPr>
                <w:rFonts w:ascii="宋体" w:hAnsi="宋体"/>
                <w:szCs w:val="21"/>
              </w:rPr>
            </w:pPr>
          </w:p>
        </w:tc>
        <w:tc>
          <w:tcPr>
            <w:tcW w:w="1872"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950"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康复治疗辅具制作</w:t>
            </w:r>
          </w:p>
        </w:tc>
        <w:tc>
          <w:tcPr>
            <w:tcW w:w="2013" w:type="dxa"/>
            <w:vAlign w:val="center"/>
          </w:tcPr>
          <w:p>
            <w:pPr>
              <w:jc w:val="center"/>
              <w:rPr>
                <w:rFonts w:ascii="宋体" w:hAnsi="宋体"/>
                <w:szCs w:val="21"/>
              </w:rPr>
            </w:pPr>
          </w:p>
        </w:tc>
        <w:tc>
          <w:tcPr>
            <w:tcW w:w="2023" w:type="dxa"/>
            <w:vAlign w:val="center"/>
          </w:tcPr>
          <w:p>
            <w:pPr>
              <w:jc w:val="center"/>
              <w:rPr>
                <w:rFonts w:ascii="宋体" w:hAnsi="宋体"/>
                <w:szCs w:val="21"/>
              </w:rPr>
            </w:pPr>
          </w:p>
        </w:tc>
        <w:tc>
          <w:tcPr>
            <w:tcW w:w="1872" w:type="dxa"/>
            <w:vAlign w:val="center"/>
          </w:tcPr>
          <w:p>
            <w:pPr>
              <w:jc w:val="center"/>
              <w:rPr>
                <w:rFonts w:ascii="宋体" w:hAnsi="宋体"/>
                <w:szCs w:val="21"/>
              </w:rPr>
            </w:pPr>
          </w:p>
        </w:tc>
      </w:tr>
    </w:tbl>
    <w:p>
      <w:pPr>
        <w:spacing w:before="156" w:beforeLines="50" w:after="156" w:afterLines="50"/>
        <w:ind w:firstLine="482" w:firstLineChars="200"/>
        <w:rPr>
          <w:rFonts w:ascii="宋体" w:hAnsi="宋体"/>
          <w:b/>
          <w:bCs/>
          <w:sz w:val="24"/>
        </w:rPr>
      </w:pPr>
      <w:r>
        <w:rPr>
          <w:rFonts w:hint="eastAsia" w:ascii="宋体" w:hAnsi="宋体"/>
          <w:b/>
          <w:bCs/>
          <w:sz w:val="24"/>
        </w:rPr>
        <w:t>3.校内外服务</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998"/>
        <w:gridCol w:w="2254"/>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73" w:type="dxa"/>
            <w:vAlign w:val="center"/>
          </w:tcPr>
          <w:p>
            <w:pPr>
              <w:jc w:val="center"/>
              <w:rPr>
                <w:rFonts w:ascii="宋体" w:hAnsi="宋体"/>
                <w:b/>
                <w:szCs w:val="21"/>
              </w:rPr>
            </w:pPr>
            <w:r>
              <w:rPr>
                <w:rFonts w:hint="eastAsia" w:ascii="宋体" w:hAnsi="宋体"/>
                <w:b/>
                <w:szCs w:val="21"/>
              </w:rPr>
              <w:t>序号</w:t>
            </w:r>
          </w:p>
        </w:tc>
        <w:tc>
          <w:tcPr>
            <w:tcW w:w="1998" w:type="dxa"/>
            <w:vAlign w:val="center"/>
          </w:tcPr>
          <w:p>
            <w:pPr>
              <w:jc w:val="center"/>
              <w:rPr>
                <w:rFonts w:ascii="宋体" w:hAnsi="宋体"/>
                <w:b/>
                <w:szCs w:val="21"/>
              </w:rPr>
            </w:pPr>
            <w:r>
              <w:rPr>
                <w:rFonts w:hint="eastAsia" w:ascii="宋体" w:hAnsi="宋体"/>
                <w:b/>
                <w:szCs w:val="21"/>
              </w:rPr>
              <w:t>服务项目</w:t>
            </w:r>
          </w:p>
        </w:tc>
        <w:tc>
          <w:tcPr>
            <w:tcW w:w="2254" w:type="dxa"/>
            <w:vAlign w:val="center"/>
          </w:tcPr>
          <w:p>
            <w:pPr>
              <w:jc w:val="center"/>
              <w:rPr>
                <w:rFonts w:ascii="宋体" w:hAnsi="宋体"/>
                <w:b/>
                <w:szCs w:val="21"/>
              </w:rPr>
            </w:pPr>
            <w:r>
              <w:rPr>
                <w:rFonts w:hint="eastAsia" w:ascii="宋体" w:hAnsi="宋体"/>
                <w:b/>
                <w:szCs w:val="21"/>
              </w:rPr>
              <w:t>专业</w:t>
            </w:r>
          </w:p>
        </w:tc>
        <w:tc>
          <w:tcPr>
            <w:tcW w:w="2114" w:type="dxa"/>
            <w:vAlign w:val="center"/>
          </w:tcPr>
          <w:p>
            <w:pPr>
              <w:jc w:val="center"/>
              <w:rPr>
                <w:rFonts w:ascii="宋体" w:hAnsi="宋体"/>
                <w:b/>
                <w:szCs w:val="21"/>
              </w:rPr>
            </w:pPr>
            <w:r>
              <w:rPr>
                <w:rFonts w:hint="eastAsia" w:ascii="宋体" w:hAnsi="宋体"/>
                <w:b/>
                <w:szCs w:val="21"/>
              </w:rPr>
              <w:t>学年使用人时数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73" w:type="dxa"/>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w:t>
            </w:r>
          </w:p>
        </w:tc>
        <w:tc>
          <w:tcPr>
            <w:tcW w:w="199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教学</w:t>
            </w:r>
          </w:p>
        </w:tc>
        <w:tc>
          <w:tcPr>
            <w:tcW w:w="225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康复治疗学，护理学，健康服务与管理</w:t>
            </w:r>
          </w:p>
        </w:tc>
        <w:tc>
          <w:tcPr>
            <w:tcW w:w="211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73" w:type="dxa"/>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2</w:t>
            </w:r>
          </w:p>
        </w:tc>
        <w:tc>
          <w:tcPr>
            <w:tcW w:w="199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大创项目</w:t>
            </w:r>
          </w:p>
        </w:tc>
        <w:tc>
          <w:tcPr>
            <w:tcW w:w="225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康复治疗学，护理学，健康服务与管理</w:t>
            </w:r>
          </w:p>
        </w:tc>
        <w:tc>
          <w:tcPr>
            <w:tcW w:w="211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73" w:type="dxa"/>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3</w:t>
            </w:r>
          </w:p>
        </w:tc>
        <w:tc>
          <w:tcPr>
            <w:tcW w:w="199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规培训练</w:t>
            </w:r>
          </w:p>
        </w:tc>
        <w:tc>
          <w:tcPr>
            <w:tcW w:w="225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康复治疗学，护理学，健康服务与管理</w:t>
            </w:r>
          </w:p>
        </w:tc>
        <w:tc>
          <w:tcPr>
            <w:tcW w:w="211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73" w:type="dxa"/>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4</w:t>
            </w:r>
          </w:p>
        </w:tc>
        <w:tc>
          <w:tcPr>
            <w:tcW w:w="199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学科竞赛</w:t>
            </w:r>
          </w:p>
        </w:tc>
        <w:tc>
          <w:tcPr>
            <w:tcW w:w="225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康复治疗学，护理学，健康服务与管理</w:t>
            </w:r>
          </w:p>
        </w:tc>
        <w:tc>
          <w:tcPr>
            <w:tcW w:w="211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10000</w:t>
            </w:r>
          </w:p>
        </w:tc>
      </w:tr>
    </w:tbl>
    <w:p>
      <w:pPr>
        <w:rPr>
          <w:rFonts w:ascii="楷体_GB2312" w:eastAsia="楷体_GB2312"/>
          <w:b/>
          <w:sz w:val="36"/>
          <w:szCs w:val="36"/>
        </w:rPr>
        <w:sectPr>
          <w:footerReference r:id="rId5" w:type="default"/>
          <w:pgSz w:w="11906" w:h="16838"/>
          <w:pgMar w:top="1134" w:right="1134" w:bottom="1134" w:left="1134" w:header="851" w:footer="992" w:gutter="0"/>
          <w:pgNumType w:start="1"/>
          <w:cols w:space="720" w:num="1"/>
          <w:docGrid w:type="lines" w:linePitch="312" w:charSpace="0"/>
        </w:sectPr>
      </w:pPr>
    </w:p>
    <w:p>
      <w:pPr>
        <w:numPr>
          <w:ilvl w:val="0"/>
          <w:numId w:val="4"/>
        </w:numPr>
        <w:rPr>
          <w:rFonts w:ascii="仿宋_GB2312" w:eastAsia="仿宋_GB2312"/>
          <w:b/>
          <w:bCs/>
          <w:sz w:val="28"/>
          <w:szCs w:val="28"/>
        </w:rPr>
      </w:pPr>
      <w:r>
        <w:rPr>
          <w:rFonts w:hint="eastAsia" w:ascii="仿宋_GB2312" w:eastAsia="仿宋_GB2312"/>
          <w:b/>
          <w:bCs/>
          <w:sz w:val="28"/>
          <w:szCs w:val="28"/>
        </w:rPr>
        <w:t>拟购仪器设备、辅助设施清单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777"/>
        <w:gridCol w:w="2117"/>
        <w:gridCol w:w="1416"/>
        <w:gridCol w:w="893"/>
        <w:gridCol w:w="841"/>
        <w:gridCol w:w="864"/>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widowControl/>
              <w:jc w:val="center"/>
              <w:textAlignment w:val="center"/>
              <w:rPr>
                <w:rFonts w:ascii="宋体" w:hAnsi="宋体"/>
                <w:b/>
                <w:bCs/>
                <w:szCs w:val="21"/>
              </w:rPr>
            </w:pPr>
            <w:bookmarkStart w:id="0" w:name="_Hlk161386071"/>
            <w:r>
              <w:rPr>
                <w:rFonts w:hint="eastAsia" w:ascii="宋体" w:hAnsi="宋体" w:cs="宋体"/>
                <w:b/>
                <w:bCs/>
                <w:color w:val="000000"/>
                <w:kern w:val="0"/>
                <w:szCs w:val="21"/>
                <w:lang w:bidi="ar"/>
              </w:rPr>
              <w:t>序号</w:t>
            </w:r>
          </w:p>
        </w:tc>
        <w:tc>
          <w:tcPr>
            <w:tcW w:w="1777" w:type="dxa"/>
            <w:vAlign w:val="center"/>
          </w:tcPr>
          <w:p>
            <w:pPr>
              <w:widowControl/>
              <w:jc w:val="center"/>
              <w:textAlignment w:val="center"/>
              <w:rPr>
                <w:rFonts w:ascii="宋体" w:hAnsi="宋体"/>
                <w:b/>
                <w:bCs/>
                <w:szCs w:val="21"/>
              </w:rPr>
            </w:pPr>
            <w:r>
              <w:rPr>
                <w:rFonts w:hint="eastAsia" w:ascii="宋体" w:hAnsi="宋体" w:cs="宋体"/>
                <w:b/>
                <w:bCs/>
                <w:color w:val="000000"/>
                <w:kern w:val="0"/>
                <w:szCs w:val="21"/>
                <w:lang w:bidi="ar"/>
              </w:rPr>
              <w:t>设备名称</w:t>
            </w:r>
          </w:p>
        </w:tc>
        <w:tc>
          <w:tcPr>
            <w:tcW w:w="2117" w:type="dxa"/>
            <w:vAlign w:val="center"/>
          </w:tcPr>
          <w:p>
            <w:pPr>
              <w:widowControl/>
              <w:jc w:val="center"/>
              <w:textAlignment w:val="center"/>
              <w:rPr>
                <w:rFonts w:ascii="宋体" w:hAnsi="宋体"/>
                <w:b/>
                <w:bCs/>
                <w:szCs w:val="21"/>
              </w:rPr>
            </w:pPr>
            <w:r>
              <w:rPr>
                <w:rFonts w:hint="eastAsia" w:ascii="宋体" w:hAnsi="宋体" w:cs="宋体"/>
                <w:b/>
                <w:bCs/>
                <w:color w:val="000000"/>
                <w:kern w:val="0"/>
                <w:szCs w:val="21"/>
                <w:lang w:val="en-US" w:eastAsia="zh-CN" w:bidi="ar"/>
              </w:rPr>
              <w:t>参考</w:t>
            </w:r>
            <w:r>
              <w:rPr>
                <w:rFonts w:hint="eastAsia" w:ascii="宋体" w:hAnsi="宋体" w:cs="宋体"/>
                <w:b/>
                <w:bCs/>
                <w:color w:val="000000"/>
                <w:kern w:val="0"/>
                <w:szCs w:val="21"/>
                <w:lang w:bidi="ar"/>
              </w:rPr>
              <w:t>型号</w:t>
            </w:r>
          </w:p>
        </w:tc>
        <w:tc>
          <w:tcPr>
            <w:tcW w:w="1416" w:type="dxa"/>
            <w:vAlign w:val="center"/>
          </w:tcPr>
          <w:p>
            <w:pPr>
              <w:widowControl/>
              <w:jc w:val="center"/>
              <w:textAlignment w:val="center"/>
              <w:rPr>
                <w:rFonts w:ascii="宋体" w:hAnsi="宋体"/>
                <w:b/>
                <w:bCs/>
                <w:szCs w:val="21"/>
              </w:rPr>
            </w:pPr>
            <w:r>
              <w:rPr>
                <w:rFonts w:hint="eastAsia" w:ascii="宋体" w:hAnsi="宋体" w:cs="宋体"/>
                <w:b/>
                <w:bCs/>
                <w:color w:val="000000"/>
                <w:kern w:val="0"/>
                <w:szCs w:val="21"/>
                <w:lang w:bidi="ar"/>
              </w:rPr>
              <w:t>主要参数及配置要求</w:t>
            </w:r>
          </w:p>
        </w:tc>
        <w:tc>
          <w:tcPr>
            <w:tcW w:w="893" w:type="dxa"/>
            <w:vAlign w:val="center"/>
          </w:tcPr>
          <w:p>
            <w:pPr>
              <w:widowControl/>
              <w:jc w:val="center"/>
              <w:textAlignment w:val="center"/>
              <w:rPr>
                <w:rFonts w:ascii="宋体" w:hAnsi="宋体"/>
                <w:b/>
                <w:bCs/>
                <w:szCs w:val="21"/>
              </w:rPr>
            </w:pPr>
            <w:r>
              <w:rPr>
                <w:rFonts w:hint="eastAsia" w:ascii="宋体" w:hAnsi="宋体" w:cs="宋体"/>
                <w:b/>
                <w:bCs/>
                <w:color w:val="000000"/>
                <w:kern w:val="0"/>
                <w:szCs w:val="21"/>
                <w:lang w:bidi="ar"/>
              </w:rPr>
              <w:t>台套数</w:t>
            </w:r>
          </w:p>
        </w:tc>
        <w:tc>
          <w:tcPr>
            <w:tcW w:w="841" w:type="dxa"/>
            <w:vAlign w:val="center"/>
          </w:tcPr>
          <w:p>
            <w:pPr>
              <w:widowControl/>
              <w:jc w:val="center"/>
              <w:textAlignment w:val="center"/>
              <w:rPr>
                <w:rFonts w:ascii="宋体" w:hAnsi="宋体"/>
                <w:b/>
                <w:bCs/>
                <w:szCs w:val="21"/>
              </w:rPr>
            </w:pPr>
            <w:r>
              <w:rPr>
                <w:rFonts w:hint="eastAsia" w:ascii="宋体" w:hAnsi="宋体" w:cs="宋体"/>
                <w:b/>
                <w:bCs/>
                <w:color w:val="000000"/>
                <w:kern w:val="0"/>
                <w:szCs w:val="21"/>
                <w:lang w:bidi="ar"/>
              </w:rPr>
              <w:t>单价</w:t>
            </w:r>
          </w:p>
        </w:tc>
        <w:tc>
          <w:tcPr>
            <w:tcW w:w="864" w:type="dxa"/>
            <w:vAlign w:val="center"/>
          </w:tcPr>
          <w:p>
            <w:pPr>
              <w:widowControl/>
              <w:jc w:val="center"/>
              <w:textAlignment w:val="center"/>
              <w:rPr>
                <w:rFonts w:ascii="宋体" w:hAnsi="宋体"/>
                <w:b/>
                <w:bCs/>
                <w:szCs w:val="21"/>
              </w:rPr>
            </w:pPr>
            <w:r>
              <w:rPr>
                <w:rFonts w:hint="eastAsia" w:ascii="宋体" w:hAnsi="宋体" w:cs="宋体"/>
                <w:b/>
                <w:bCs/>
                <w:color w:val="000000"/>
                <w:kern w:val="0"/>
                <w:szCs w:val="21"/>
                <w:lang w:bidi="ar"/>
              </w:rPr>
              <w:t>小计</w:t>
            </w:r>
          </w:p>
        </w:tc>
        <w:tc>
          <w:tcPr>
            <w:tcW w:w="1300" w:type="dxa"/>
            <w:vAlign w:val="center"/>
          </w:tcPr>
          <w:p>
            <w:pPr>
              <w:widowControl/>
              <w:jc w:val="center"/>
              <w:textAlignment w:val="center"/>
              <w:rPr>
                <w:rFonts w:ascii="宋体" w:hAnsi="宋体"/>
                <w:b/>
                <w:bCs/>
                <w:szCs w:val="21"/>
              </w:rPr>
            </w:pPr>
            <w:r>
              <w:rPr>
                <w:rFonts w:hint="eastAsia" w:ascii="宋体" w:hAnsi="宋体" w:cs="宋体"/>
                <w:b/>
                <w:bCs/>
                <w:color w:val="000000"/>
                <w:kern w:val="0"/>
                <w:szCs w:val="21"/>
                <w:lang w:bidi="ar"/>
              </w:rPr>
              <w:t>参考厂家</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ascii="宋体" w:hAnsi="宋体"/>
                <w:szCs w:val="21"/>
              </w:rPr>
              <w:t>多关节活动测量表</w:t>
            </w:r>
          </w:p>
        </w:tc>
        <w:tc>
          <w:tcPr>
            <w:tcW w:w="2117" w:type="dxa"/>
          </w:tcPr>
          <w:p>
            <w:pPr>
              <w:jc w:val="center"/>
              <w:rPr>
                <w:rFonts w:ascii="宋体" w:hAnsi="宋体"/>
                <w:szCs w:val="21"/>
              </w:rPr>
            </w:pPr>
            <w:r>
              <w:rPr>
                <w:rFonts w:hint="eastAsia" w:ascii="宋体" w:hAnsi="宋体"/>
                <w:szCs w:val="21"/>
              </w:rPr>
              <w:t>HS-PG105</w:t>
            </w:r>
          </w:p>
        </w:tc>
        <w:tc>
          <w:tcPr>
            <w:tcW w:w="1416" w:type="dxa"/>
            <w:vAlign w:val="center"/>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6</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ascii="宋体" w:hAnsi="宋体"/>
                <w:szCs w:val="21"/>
              </w:rPr>
              <w:t>测角计</w:t>
            </w:r>
          </w:p>
        </w:tc>
        <w:tc>
          <w:tcPr>
            <w:tcW w:w="2117" w:type="dxa"/>
          </w:tcPr>
          <w:p>
            <w:pPr>
              <w:jc w:val="center"/>
              <w:rPr>
                <w:rFonts w:eastAsia="仿宋_GB2312"/>
                <w:szCs w:val="21"/>
              </w:rPr>
            </w:pPr>
            <w:r>
              <w:rPr>
                <w:rFonts w:hint="eastAsia" w:ascii="宋体" w:hAnsi="宋体"/>
                <w:szCs w:val="21"/>
              </w:rPr>
              <w:t>HS-PG102</w:t>
            </w:r>
          </w:p>
        </w:tc>
        <w:tc>
          <w:tcPr>
            <w:tcW w:w="1416" w:type="dxa"/>
          </w:tcPr>
          <w:p>
            <w:pPr>
              <w:jc w:val="center"/>
              <w:rPr>
                <w:rFonts w:eastAsia="仿宋_GB2312"/>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6</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ascii="宋体" w:hAnsi="宋体"/>
                <w:szCs w:val="21"/>
              </w:rPr>
              <w:t>腕关节训练器</w:t>
            </w:r>
          </w:p>
        </w:tc>
        <w:tc>
          <w:tcPr>
            <w:tcW w:w="2117" w:type="dxa"/>
          </w:tcPr>
          <w:p>
            <w:pPr>
              <w:jc w:val="center"/>
              <w:rPr>
                <w:rFonts w:ascii="宋体" w:hAnsi="宋体"/>
                <w:szCs w:val="21"/>
              </w:rPr>
            </w:pPr>
            <w:r>
              <w:rPr>
                <w:rFonts w:hint="eastAsia" w:ascii="宋体" w:hAnsi="宋体"/>
                <w:szCs w:val="21"/>
              </w:rPr>
              <w:t>HS-PT202</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2</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ascii="宋体" w:hAnsi="宋体"/>
                <w:szCs w:val="21"/>
              </w:rPr>
              <w:t>肩关节训练器</w:t>
            </w:r>
          </w:p>
        </w:tc>
        <w:tc>
          <w:tcPr>
            <w:tcW w:w="2117" w:type="dxa"/>
          </w:tcPr>
          <w:p>
            <w:pPr>
              <w:jc w:val="center"/>
              <w:rPr>
                <w:rFonts w:ascii="宋体" w:hAnsi="宋体"/>
                <w:szCs w:val="21"/>
              </w:rPr>
            </w:pPr>
            <w:r>
              <w:rPr>
                <w:rFonts w:hint="eastAsia" w:ascii="宋体" w:hAnsi="宋体"/>
                <w:szCs w:val="21"/>
              </w:rPr>
              <w:t>HS-PT200</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2</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ascii="宋体" w:hAnsi="宋体"/>
                <w:szCs w:val="21"/>
              </w:rPr>
              <w:t>软卷尺</w:t>
            </w:r>
          </w:p>
        </w:tc>
        <w:tc>
          <w:tcPr>
            <w:tcW w:w="2117" w:type="dxa"/>
          </w:tcPr>
          <w:p>
            <w:pPr>
              <w:jc w:val="center"/>
              <w:rPr>
                <w:rFonts w:ascii="宋体" w:hAnsi="宋体"/>
                <w:szCs w:val="21"/>
              </w:rPr>
            </w:pPr>
            <w:r>
              <w:rPr>
                <w:rFonts w:hint="eastAsia" w:ascii="宋体" w:hAnsi="宋体"/>
                <w:szCs w:val="21"/>
              </w:rPr>
              <w:t>HS-RJC</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6</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ascii="宋体" w:hAnsi="宋体"/>
                <w:szCs w:val="21"/>
              </w:rPr>
              <w:t>体操垫</w:t>
            </w:r>
          </w:p>
        </w:tc>
        <w:tc>
          <w:tcPr>
            <w:tcW w:w="2117" w:type="dxa"/>
          </w:tcPr>
          <w:p>
            <w:pPr>
              <w:jc w:val="center"/>
              <w:rPr>
                <w:rFonts w:ascii="宋体" w:hAnsi="宋体"/>
                <w:szCs w:val="21"/>
              </w:rPr>
            </w:pPr>
            <w:r>
              <w:rPr>
                <w:rFonts w:hint="eastAsia" w:ascii="宋体" w:hAnsi="宋体"/>
                <w:szCs w:val="21"/>
              </w:rPr>
              <w:t>HS-PT415</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2</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ascii="宋体" w:hAnsi="宋体"/>
                <w:szCs w:val="21"/>
              </w:rPr>
              <w:t>功率车</w:t>
            </w:r>
          </w:p>
        </w:tc>
        <w:tc>
          <w:tcPr>
            <w:tcW w:w="2117" w:type="dxa"/>
          </w:tcPr>
          <w:p>
            <w:pPr>
              <w:jc w:val="center"/>
              <w:rPr>
                <w:rFonts w:ascii="宋体" w:hAnsi="宋体"/>
                <w:szCs w:val="21"/>
              </w:rPr>
            </w:pPr>
            <w:r>
              <w:rPr>
                <w:rFonts w:hint="eastAsia" w:ascii="宋体" w:hAnsi="宋体"/>
                <w:szCs w:val="21"/>
              </w:rPr>
              <w:t xml:space="preserve"> HS-PT311</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hint="eastAsia" w:ascii="宋体" w:hAnsi="宋体" w:eastAsia="宋体"/>
                <w:szCs w:val="21"/>
                <w:lang w:eastAsia="zh-CN"/>
              </w:rPr>
            </w:pPr>
            <w:r>
              <w:rPr>
                <w:rFonts w:hint="eastAsia"/>
                <w:b/>
                <w:bCs/>
                <w:lang w:val="en-US" w:eastAsia="zh-CN"/>
              </w:rPr>
              <w:t>2</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ascii="宋体" w:hAnsi="宋体"/>
                <w:szCs w:val="21"/>
              </w:rPr>
              <w:t>矫正镜</w:t>
            </w:r>
          </w:p>
        </w:tc>
        <w:tc>
          <w:tcPr>
            <w:tcW w:w="2117" w:type="dxa"/>
          </w:tcPr>
          <w:p>
            <w:pPr>
              <w:jc w:val="center"/>
              <w:rPr>
                <w:rFonts w:ascii="宋体" w:hAnsi="宋体"/>
                <w:szCs w:val="21"/>
              </w:rPr>
            </w:pPr>
            <w:r>
              <w:rPr>
                <w:rFonts w:hint="eastAsia" w:ascii="宋体" w:hAnsi="宋体"/>
                <w:szCs w:val="21"/>
              </w:rPr>
              <w:t>HS-PT407</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hint="eastAsia" w:ascii="宋体" w:hAnsi="宋体" w:eastAsia="宋体"/>
                <w:szCs w:val="21"/>
                <w:lang w:eastAsia="zh-CN"/>
              </w:rPr>
            </w:pPr>
            <w:r>
              <w:rPr>
                <w:rFonts w:hint="eastAsia"/>
                <w:b/>
                <w:bCs/>
                <w:lang w:val="en-US" w:eastAsia="zh-CN"/>
              </w:rPr>
              <w:t>2</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ascii="宋体" w:hAnsi="宋体"/>
                <w:szCs w:val="21"/>
              </w:rPr>
              <w:t>平衡板</w:t>
            </w:r>
          </w:p>
        </w:tc>
        <w:tc>
          <w:tcPr>
            <w:tcW w:w="2117" w:type="dxa"/>
            <w:vAlign w:val="center"/>
          </w:tcPr>
          <w:p>
            <w:pPr>
              <w:jc w:val="center"/>
              <w:rPr>
                <w:rFonts w:ascii="宋体" w:hAnsi="宋体"/>
                <w:szCs w:val="21"/>
              </w:rPr>
            </w:pPr>
            <w:r>
              <w:rPr>
                <w:rFonts w:hint="eastAsia" w:eastAsia="仿宋_GB2312"/>
                <w:szCs w:val="21"/>
              </w:rPr>
              <w:t>HS-PHB</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2</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南京华狮、常州友邦、常州泉济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ascii="宋体" w:hAnsi="宋体"/>
                <w:szCs w:val="21"/>
              </w:rPr>
              <w:t>活动平板+</w:t>
            </w:r>
          </w:p>
          <w:p>
            <w:pPr>
              <w:jc w:val="center"/>
              <w:rPr>
                <w:rFonts w:ascii="宋体" w:hAnsi="宋体"/>
                <w:szCs w:val="21"/>
              </w:rPr>
            </w:pPr>
            <w:r>
              <w:rPr>
                <w:rFonts w:hint="eastAsia" w:ascii="宋体" w:hAnsi="宋体"/>
                <w:szCs w:val="21"/>
              </w:rPr>
              <w:t>心电图机（12导）</w:t>
            </w:r>
          </w:p>
        </w:tc>
        <w:tc>
          <w:tcPr>
            <w:tcW w:w="2117" w:type="dxa"/>
          </w:tcPr>
          <w:p>
            <w:pPr>
              <w:jc w:val="center"/>
              <w:rPr>
                <w:rFonts w:ascii="宋体" w:hAnsi="宋体"/>
                <w:szCs w:val="21"/>
              </w:rPr>
            </w:pPr>
            <w:r>
              <w:rPr>
                <w:rFonts w:hint="eastAsia" w:ascii="宋体" w:hAnsi="宋体"/>
                <w:szCs w:val="21"/>
              </w:rPr>
              <w:t>TM-8100（活动平板）</w:t>
            </w:r>
          </w:p>
          <w:p>
            <w:pPr>
              <w:jc w:val="center"/>
              <w:rPr>
                <w:rFonts w:ascii="宋体" w:hAnsi="宋体"/>
                <w:szCs w:val="21"/>
              </w:rPr>
            </w:pPr>
            <w:r>
              <w:rPr>
                <w:rFonts w:hint="eastAsia" w:ascii="宋体" w:hAnsi="宋体"/>
                <w:szCs w:val="21"/>
              </w:rPr>
              <w:t>CM1200B（心电图）</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b/>
                <w:bCs/>
              </w:rPr>
            </w:pPr>
            <w:r>
              <w:rPr>
                <w:rFonts w:hint="eastAsia"/>
                <w:b/>
                <w:bCs/>
              </w:rPr>
              <w:t>1</w:t>
            </w:r>
          </w:p>
          <w:p>
            <w:pPr>
              <w:jc w:val="center"/>
              <w:rPr>
                <w:rFonts w:ascii="宋体" w:hAnsi="宋体"/>
                <w:szCs w:val="21"/>
              </w:rPr>
            </w:pP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凌特</w:t>
            </w:r>
          </w:p>
          <w:p>
            <w:pPr>
              <w:jc w:val="center"/>
              <w:rPr>
                <w:rFonts w:hint="eastAsia" w:ascii="宋体" w:hAnsi="宋体"/>
                <w:szCs w:val="21"/>
              </w:rPr>
            </w:pPr>
            <w:r>
              <w:rPr>
                <w:rFonts w:hint="eastAsia" w:ascii="宋体" w:hAnsi="宋体"/>
                <w:szCs w:val="21"/>
              </w:rPr>
              <w:t>Egoline、常州泉济、领康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ascii="宋体" w:hAnsi="宋体"/>
                <w:szCs w:val="21"/>
              </w:rPr>
              <w:t>认知功能评估与训练设备</w:t>
            </w:r>
          </w:p>
        </w:tc>
        <w:tc>
          <w:tcPr>
            <w:tcW w:w="2117" w:type="dxa"/>
            <w:vAlign w:val="center"/>
          </w:tcPr>
          <w:p>
            <w:pPr>
              <w:jc w:val="center"/>
              <w:rPr>
                <w:rFonts w:ascii="宋体" w:hAnsi="宋体"/>
                <w:szCs w:val="21"/>
              </w:rPr>
            </w:pPr>
            <w:r>
              <w:rPr>
                <w:rFonts w:hint="eastAsia" w:eastAsia="仿宋_GB2312"/>
                <w:szCs w:val="21"/>
              </w:rPr>
              <w:t>JZ-RZ-20USC</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杭州极智、苏州好博、广州一康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hint="eastAsia"/>
              </w:rPr>
              <w:t>呼吸测量训练器</w:t>
            </w:r>
          </w:p>
        </w:tc>
        <w:tc>
          <w:tcPr>
            <w:tcW w:w="2117" w:type="dxa"/>
            <w:vAlign w:val="center"/>
          </w:tcPr>
          <w:p>
            <w:pPr>
              <w:jc w:val="center"/>
              <w:rPr>
                <w:rFonts w:ascii="宋体" w:hAnsi="宋体"/>
                <w:szCs w:val="21"/>
              </w:rPr>
            </w:pPr>
            <w:r>
              <w:rPr>
                <w:rFonts w:hint="eastAsia" w:ascii="宋体" w:hAnsi="宋体"/>
                <w:szCs w:val="21"/>
              </w:rPr>
              <w:t>X1</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2</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赛克、常州泉济、领康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rPr>
              <w:t>手功能评估8件套</w:t>
            </w:r>
          </w:p>
        </w:tc>
        <w:tc>
          <w:tcPr>
            <w:tcW w:w="2117" w:type="dxa"/>
          </w:tcPr>
          <w:p>
            <w:pPr>
              <w:jc w:val="center"/>
              <w:rPr>
                <w:rFonts w:ascii="宋体" w:hAnsi="宋体"/>
                <w:szCs w:val="21"/>
              </w:rPr>
            </w:pPr>
            <w:r>
              <w:rPr>
                <w:rFonts w:hint="eastAsia" w:ascii="宋体" w:hAnsi="宋体"/>
                <w:szCs w:val="21"/>
              </w:rPr>
              <w:t>OT-KL-40600</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2</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科莱瑞迪、常州泉济、领康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rPr>
              <w:t>平衡测试训练仪</w:t>
            </w:r>
          </w:p>
        </w:tc>
        <w:tc>
          <w:tcPr>
            <w:tcW w:w="2117" w:type="dxa"/>
          </w:tcPr>
          <w:p>
            <w:pPr>
              <w:jc w:val="center"/>
              <w:rPr>
                <w:rFonts w:ascii="宋体" w:hAnsi="宋体"/>
                <w:szCs w:val="21"/>
              </w:rPr>
            </w:pPr>
            <w:r>
              <w:rPr>
                <w:rFonts w:hint="eastAsia" w:ascii="宋体" w:hAnsi="宋体"/>
                <w:szCs w:val="21"/>
              </w:rPr>
              <w:t>LGT-5300</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龙之杰、常州泉济、领康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rPr>
              <w:t>电子测角器</w:t>
            </w:r>
          </w:p>
        </w:tc>
        <w:tc>
          <w:tcPr>
            <w:tcW w:w="2117" w:type="dxa"/>
          </w:tcPr>
          <w:p>
            <w:pPr>
              <w:jc w:val="center"/>
              <w:rPr>
                <w:rFonts w:ascii="宋体" w:hAnsi="宋体"/>
                <w:szCs w:val="21"/>
              </w:rPr>
            </w:pPr>
            <w:r>
              <w:rPr>
                <w:rFonts w:hint="eastAsia" w:ascii="宋体" w:hAnsi="宋体"/>
                <w:szCs w:val="21"/>
              </w:rPr>
              <w:t>HS-CJQ</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4</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南京华狮、常州泉济、领康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rPr>
              <w:t>言语评估训练系统</w:t>
            </w:r>
          </w:p>
        </w:tc>
        <w:tc>
          <w:tcPr>
            <w:tcW w:w="2117" w:type="dxa"/>
          </w:tcPr>
          <w:p>
            <w:pPr>
              <w:jc w:val="center"/>
              <w:rPr>
                <w:rFonts w:ascii="宋体" w:hAnsi="宋体"/>
                <w:szCs w:val="21"/>
              </w:rPr>
            </w:pPr>
            <w:r>
              <w:rPr>
                <w:rFonts w:hint="eastAsia" w:ascii="宋体" w:hAnsi="宋体"/>
                <w:szCs w:val="21"/>
              </w:rPr>
              <w:t>HB-SL</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苏州好博、常州泉济、硕博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rPr>
              <w:t>评估量表</w:t>
            </w:r>
          </w:p>
        </w:tc>
        <w:tc>
          <w:tcPr>
            <w:tcW w:w="2117" w:type="dxa"/>
          </w:tcPr>
          <w:p>
            <w:pPr>
              <w:jc w:val="center"/>
              <w:rPr>
                <w:rFonts w:ascii="宋体" w:hAnsi="宋体"/>
                <w:szCs w:val="21"/>
              </w:rPr>
            </w:pPr>
            <w:r>
              <w:rPr>
                <w:rFonts w:hint="eastAsia" w:ascii="宋体" w:hAnsi="宋体"/>
                <w:szCs w:val="21"/>
              </w:rPr>
              <w:t>HS-PGB</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4</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pPr>
            <w:r>
              <w:rPr>
                <w:rFonts w:hint="eastAsia" w:ascii="宋体" w:hAnsi="宋体"/>
                <w:szCs w:val="21"/>
              </w:rPr>
              <w:t>感觉评定设备</w:t>
            </w:r>
          </w:p>
        </w:tc>
        <w:tc>
          <w:tcPr>
            <w:tcW w:w="2117" w:type="dxa"/>
            <w:vAlign w:val="center"/>
          </w:tcPr>
          <w:p>
            <w:pPr>
              <w:jc w:val="center"/>
              <w:rPr>
                <w:rFonts w:ascii="宋体" w:hAnsi="宋体"/>
                <w:szCs w:val="21"/>
              </w:rPr>
            </w:pPr>
            <w:r>
              <w:rPr>
                <w:rFonts w:hint="eastAsia" w:eastAsia="仿宋_GB2312"/>
                <w:szCs w:val="21"/>
              </w:rPr>
              <w:t>HS-GJ01</w:t>
            </w:r>
          </w:p>
        </w:tc>
        <w:tc>
          <w:tcPr>
            <w:tcW w:w="1416" w:type="dxa"/>
            <w:vAlign w:val="center"/>
          </w:tcPr>
          <w:p>
            <w:pPr>
              <w:jc w:val="center"/>
              <w:rPr>
                <w:rFonts w:eastAsia="仿宋_GB2312"/>
                <w:szCs w:val="21"/>
              </w:rPr>
            </w:pPr>
            <w:r>
              <w:rPr>
                <w:rFonts w:hint="eastAsia" w:eastAsia="仿宋_GB2312"/>
                <w:szCs w:val="21"/>
              </w:rPr>
              <w:t>详见需求参数</w:t>
            </w:r>
          </w:p>
        </w:tc>
        <w:tc>
          <w:tcPr>
            <w:tcW w:w="893" w:type="dxa"/>
            <w:vAlign w:val="center"/>
          </w:tcPr>
          <w:p>
            <w:pPr>
              <w:jc w:val="center"/>
              <w:rPr>
                <w:b/>
                <w:bCs/>
              </w:rPr>
            </w:pPr>
            <w:r>
              <w:rPr>
                <w:rFonts w:hint="eastAsia" w:ascii="宋体" w:hAnsi="宋体"/>
                <w:szCs w:val="21"/>
              </w:rPr>
              <w:t>6</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南京华狮、常州友邦、常州泉济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ascii="宋体" w:hAnsi="宋体"/>
                <w:szCs w:val="21"/>
              </w:rPr>
              <w:t>叩诊锤</w:t>
            </w:r>
          </w:p>
        </w:tc>
        <w:tc>
          <w:tcPr>
            <w:tcW w:w="2117" w:type="dxa"/>
            <w:vAlign w:val="center"/>
          </w:tcPr>
          <w:p>
            <w:pPr>
              <w:jc w:val="center"/>
              <w:rPr>
                <w:rFonts w:eastAsia="仿宋_GB2312"/>
                <w:szCs w:val="21"/>
              </w:rPr>
            </w:pPr>
            <w:r>
              <w:rPr>
                <w:rFonts w:hint="eastAsia" w:eastAsia="仿宋_GB2312"/>
                <w:szCs w:val="21"/>
              </w:rPr>
              <w:t>HS-KZC</w:t>
            </w:r>
          </w:p>
        </w:tc>
        <w:tc>
          <w:tcPr>
            <w:tcW w:w="1416" w:type="dxa"/>
          </w:tcPr>
          <w:p>
            <w:pPr>
              <w:jc w:val="center"/>
              <w:rPr>
                <w:rFonts w:eastAsia="仿宋_GB2312"/>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6</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南京华狮、常州友邦、常州泉济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电动起立床</w:t>
            </w:r>
          </w:p>
        </w:tc>
        <w:tc>
          <w:tcPr>
            <w:tcW w:w="2117" w:type="dxa"/>
          </w:tcPr>
          <w:p>
            <w:pPr>
              <w:jc w:val="center"/>
              <w:rPr>
                <w:rFonts w:ascii="宋体" w:hAnsi="宋体"/>
                <w:szCs w:val="21"/>
              </w:rPr>
            </w:pPr>
            <w:r>
              <w:rPr>
                <w:rFonts w:hint="eastAsia" w:ascii="宋体" w:hAnsi="宋体"/>
                <w:szCs w:val="21"/>
              </w:rPr>
              <w:t>DP-XLC-D/ZL-1</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常州迪普、常州泉济、硕博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ascii="宋体" w:hAnsi="宋体"/>
                <w:szCs w:val="21"/>
              </w:rPr>
              <w:t>站立架</w:t>
            </w:r>
          </w:p>
        </w:tc>
        <w:tc>
          <w:tcPr>
            <w:tcW w:w="2117" w:type="dxa"/>
            <w:vAlign w:val="center"/>
          </w:tcPr>
          <w:p>
            <w:pPr>
              <w:jc w:val="center"/>
              <w:rPr>
                <w:rFonts w:ascii="宋体" w:hAnsi="宋体"/>
                <w:szCs w:val="21"/>
              </w:rPr>
            </w:pPr>
            <w:r>
              <w:rPr>
                <w:rFonts w:hint="eastAsia" w:eastAsia="仿宋_GB2312"/>
                <w:szCs w:val="21"/>
              </w:rPr>
              <w:t>HS-ZLJ</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vAlign w:val="center"/>
          </w:tcPr>
          <w:p>
            <w:pPr>
              <w:rPr>
                <w:rFonts w:ascii="宋体" w:hAnsi="宋体"/>
                <w:szCs w:val="21"/>
              </w:rPr>
            </w:pPr>
          </w:p>
        </w:tc>
        <w:tc>
          <w:tcPr>
            <w:tcW w:w="864" w:type="dxa"/>
            <w:vAlign w:val="center"/>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南京华狮、常州友邦、常州泉济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ascii="宋体" w:hAnsi="宋体"/>
                <w:szCs w:val="21"/>
              </w:rPr>
              <w:t>手支撑器</w:t>
            </w:r>
          </w:p>
        </w:tc>
        <w:tc>
          <w:tcPr>
            <w:tcW w:w="2117" w:type="dxa"/>
            <w:vAlign w:val="center"/>
          </w:tcPr>
          <w:p>
            <w:pPr>
              <w:jc w:val="center"/>
              <w:rPr>
                <w:rFonts w:ascii="宋体" w:hAnsi="宋体"/>
                <w:szCs w:val="21"/>
              </w:rPr>
            </w:pPr>
            <w:r>
              <w:rPr>
                <w:rFonts w:hint="eastAsia" w:eastAsia="仿宋_GB2312"/>
                <w:szCs w:val="21"/>
              </w:rPr>
              <w:t>HS-SZC</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3</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南京华狮、常州友邦、常州泉济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rPr>
              <w:t>训练用阶梯</w:t>
            </w:r>
          </w:p>
        </w:tc>
        <w:tc>
          <w:tcPr>
            <w:tcW w:w="2117" w:type="dxa"/>
          </w:tcPr>
          <w:p>
            <w:pPr>
              <w:jc w:val="center"/>
              <w:rPr>
                <w:rFonts w:ascii="宋体" w:hAnsi="宋体"/>
                <w:szCs w:val="21"/>
              </w:rPr>
            </w:pPr>
            <w:r>
              <w:rPr>
                <w:rFonts w:hint="eastAsia" w:ascii="宋体" w:hAnsi="宋体"/>
                <w:szCs w:val="21"/>
              </w:rPr>
              <w:t>HS-PT103</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上下肢主被动康复训练系统</w:t>
            </w:r>
          </w:p>
        </w:tc>
        <w:tc>
          <w:tcPr>
            <w:tcW w:w="2117" w:type="dxa"/>
          </w:tcPr>
          <w:p>
            <w:pPr>
              <w:jc w:val="center"/>
              <w:rPr>
                <w:rFonts w:ascii="宋体" w:hAnsi="宋体"/>
                <w:szCs w:val="21"/>
              </w:rPr>
            </w:pPr>
            <w:r>
              <w:rPr>
                <w:rFonts w:hint="eastAsia" w:ascii="宋体" w:hAnsi="宋体"/>
                <w:szCs w:val="21"/>
              </w:rPr>
              <w:t>ZEPU-K2000A</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山东泽普、常州泉济、硕博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手杖、拐杖助行器、轮椅</w:t>
            </w:r>
          </w:p>
        </w:tc>
        <w:tc>
          <w:tcPr>
            <w:tcW w:w="2117" w:type="dxa"/>
          </w:tcPr>
          <w:p>
            <w:pPr>
              <w:jc w:val="center"/>
              <w:rPr>
                <w:rFonts w:ascii="宋体" w:hAnsi="宋体"/>
                <w:szCs w:val="21"/>
              </w:rPr>
            </w:pPr>
            <w:r>
              <w:rPr>
                <w:rFonts w:hint="eastAsia" w:ascii="宋体" w:hAnsi="宋体"/>
                <w:szCs w:val="21"/>
              </w:rPr>
              <w:t>HS-ZY</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2</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股四头肌训练椅</w:t>
            </w:r>
          </w:p>
        </w:tc>
        <w:tc>
          <w:tcPr>
            <w:tcW w:w="2117" w:type="dxa"/>
          </w:tcPr>
          <w:p>
            <w:pPr>
              <w:jc w:val="center"/>
              <w:rPr>
                <w:rFonts w:ascii="宋体" w:hAnsi="宋体"/>
                <w:szCs w:val="21"/>
              </w:rPr>
            </w:pPr>
            <w:r>
              <w:rPr>
                <w:rFonts w:hint="eastAsia" w:ascii="宋体" w:hAnsi="宋体"/>
                <w:szCs w:val="21"/>
              </w:rPr>
              <w:t>HS-PT301</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南京华狮、常州泉济、硕博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四肢联动训练仪</w:t>
            </w:r>
          </w:p>
        </w:tc>
        <w:tc>
          <w:tcPr>
            <w:tcW w:w="2117" w:type="dxa"/>
          </w:tcPr>
          <w:p>
            <w:pPr>
              <w:jc w:val="center"/>
              <w:rPr>
                <w:rFonts w:ascii="宋体" w:hAnsi="宋体"/>
                <w:szCs w:val="21"/>
              </w:rPr>
            </w:pPr>
            <w:r>
              <w:rPr>
                <w:rFonts w:hint="eastAsia" w:ascii="宋体" w:hAnsi="宋体"/>
                <w:szCs w:val="21"/>
              </w:rPr>
              <w:t>YK-SL-K</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b/>
                <w:bCs/>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语路康达、常州泉济、硕博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hint="eastAsia"/>
                <w:szCs w:val="21"/>
              </w:rPr>
              <w:t>电动牵引床</w:t>
            </w:r>
          </w:p>
        </w:tc>
        <w:tc>
          <w:tcPr>
            <w:tcW w:w="2117" w:type="dxa"/>
          </w:tcPr>
          <w:p>
            <w:pPr>
              <w:jc w:val="center"/>
              <w:rPr>
                <w:rFonts w:ascii="宋体" w:hAnsi="宋体"/>
                <w:szCs w:val="21"/>
              </w:rPr>
            </w:pPr>
            <w:r>
              <w:rPr>
                <w:rFonts w:hint="eastAsia" w:ascii="宋体" w:hAnsi="宋体"/>
                <w:szCs w:val="21"/>
              </w:rPr>
              <w:t>YHZ-100B</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vAlign w:val="center"/>
          </w:tcPr>
          <w:p>
            <w:pPr>
              <w:jc w:val="center"/>
              <w:rPr>
                <w:rFonts w:hint="eastAsia" w:ascii="宋体" w:hAnsi="宋体"/>
                <w:szCs w:val="21"/>
              </w:rPr>
            </w:pPr>
            <w:r>
              <w:rPr>
                <w:rFonts w:hint="eastAsia" w:ascii="宋体" w:hAnsi="宋体"/>
                <w:szCs w:val="21"/>
              </w:rPr>
              <w:t>兴鑫、广州医用、硕博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hint="eastAsia"/>
                <w:szCs w:val="21"/>
              </w:rPr>
              <w:t>全自动蜡疗仪</w:t>
            </w:r>
          </w:p>
        </w:tc>
        <w:tc>
          <w:tcPr>
            <w:tcW w:w="2117" w:type="dxa"/>
            <w:vAlign w:val="center"/>
          </w:tcPr>
          <w:p>
            <w:pPr>
              <w:jc w:val="center"/>
              <w:rPr>
                <w:rFonts w:ascii="宋体" w:hAnsi="宋体"/>
                <w:szCs w:val="21"/>
              </w:rPr>
            </w:pPr>
            <w:r>
              <w:rPr>
                <w:rFonts w:hint="eastAsia" w:ascii="宋体" w:hAnsi="宋体"/>
                <w:szCs w:val="21"/>
              </w:rPr>
              <w:t>KZLA2</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vAlign w:val="center"/>
          </w:tcPr>
          <w:p>
            <w:pPr>
              <w:jc w:val="center"/>
              <w:rPr>
                <w:rFonts w:hint="eastAsia" w:ascii="宋体" w:hAnsi="宋体"/>
                <w:szCs w:val="21"/>
              </w:rPr>
            </w:pPr>
            <w:r>
              <w:rPr>
                <w:rFonts w:hint="eastAsia" w:ascii="宋体" w:hAnsi="宋体"/>
                <w:szCs w:val="21"/>
              </w:rPr>
              <w:t>语路康达、苏州好博、硕博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hint="eastAsia"/>
                <w:szCs w:val="21"/>
              </w:rPr>
              <w:t>紫外线治疗仪</w:t>
            </w:r>
          </w:p>
        </w:tc>
        <w:tc>
          <w:tcPr>
            <w:tcW w:w="2117" w:type="dxa"/>
            <w:vAlign w:val="center"/>
          </w:tcPr>
          <w:p>
            <w:pPr>
              <w:jc w:val="center"/>
              <w:rPr>
                <w:rFonts w:ascii="宋体" w:hAnsi="宋体"/>
                <w:szCs w:val="21"/>
              </w:rPr>
            </w:pPr>
            <w:r>
              <w:rPr>
                <w:rFonts w:hint="eastAsia" w:ascii="宋体" w:hAnsi="宋体"/>
                <w:szCs w:val="21"/>
              </w:rPr>
              <w:t>JD-3300A</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vAlign w:val="center"/>
          </w:tcPr>
          <w:p>
            <w:pPr>
              <w:jc w:val="center"/>
              <w:rPr>
                <w:rFonts w:hint="eastAsia" w:ascii="宋体" w:hAnsi="宋体"/>
                <w:szCs w:val="21"/>
              </w:rPr>
            </w:pPr>
            <w:r>
              <w:rPr>
                <w:rFonts w:hint="eastAsia" w:ascii="宋体" w:hAnsi="宋体"/>
                <w:szCs w:val="21"/>
              </w:rPr>
              <w:t>河北君德、广州龙之杰、硕博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hint="eastAsia"/>
                <w:szCs w:val="21"/>
              </w:rPr>
              <w:t>超声波治疗仪</w:t>
            </w:r>
          </w:p>
        </w:tc>
        <w:tc>
          <w:tcPr>
            <w:tcW w:w="2117" w:type="dxa"/>
            <w:vAlign w:val="center"/>
          </w:tcPr>
          <w:p>
            <w:pPr>
              <w:jc w:val="center"/>
              <w:rPr>
                <w:rFonts w:ascii="宋体" w:hAnsi="宋体"/>
                <w:szCs w:val="21"/>
              </w:rPr>
            </w:pPr>
            <w:r>
              <w:rPr>
                <w:rFonts w:hint="eastAsia" w:ascii="宋体" w:hAnsi="宋体"/>
                <w:szCs w:val="21"/>
              </w:rPr>
              <w:t>HB810B</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vAlign w:val="center"/>
          </w:tcPr>
          <w:p>
            <w:pPr>
              <w:jc w:val="center"/>
              <w:rPr>
                <w:rFonts w:hint="eastAsia" w:ascii="宋体" w:hAnsi="宋体"/>
                <w:szCs w:val="21"/>
              </w:rPr>
            </w:pPr>
            <w:r>
              <w:rPr>
                <w:rFonts w:hint="eastAsia" w:ascii="宋体" w:hAnsi="宋体"/>
                <w:szCs w:val="21"/>
              </w:rPr>
              <w:t>苏州好博、南京沃高、硕博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hint="eastAsia"/>
                <w:szCs w:val="21"/>
              </w:rPr>
              <w:t>磁振热治疗仪</w:t>
            </w:r>
          </w:p>
        </w:tc>
        <w:tc>
          <w:tcPr>
            <w:tcW w:w="2117" w:type="dxa"/>
            <w:vAlign w:val="center"/>
          </w:tcPr>
          <w:p>
            <w:pPr>
              <w:jc w:val="center"/>
              <w:rPr>
                <w:rFonts w:ascii="宋体" w:hAnsi="宋体"/>
                <w:szCs w:val="21"/>
              </w:rPr>
            </w:pPr>
            <w:r>
              <w:rPr>
                <w:rFonts w:hint="eastAsia" w:ascii="宋体" w:hAnsi="宋体"/>
                <w:szCs w:val="21"/>
              </w:rPr>
              <w:t>JD-1600A</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vAlign w:val="center"/>
          </w:tcPr>
          <w:p>
            <w:pPr>
              <w:jc w:val="center"/>
              <w:rPr>
                <w:rFonts w:hint="eastAsia" w:ascii="宋体" w:hAnsi="宋体"/>
                <w:szCs w:val="21"/>
              </w:rPr>
            </w:pPr>
            <w:r>
              <w:rPr>
                <w:rFonts w:hint="eastAsia" w:ascii="宋体" w:hAnsi="宋体"/>
                <w:szCs w:val="21"/>
              </w:rPr>
              <w:t>河北君德、上海诺诚、硕博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OT综合训练台</w:t>
            </w:r>
          </w:p>
        </w:tc>
        <w:tc>
          <w:tcPr>
            <w:tcW w:w="2117" w:type="dxa"/>
          </w:tcPr>
          <w:p>
            <w:pPr>
              <w:jc w:val="center"/>
              <w:rPr>
                <w:rFonts w:ascii="宋体" w:hAnsi="宋体"/>
                <w:szCs w:val="21"/>
              </w:rPr>
            </w:pPr>
            <w:r>
              <w:rPr>
                <w:rFonts w:hint="eastAsia" w:ascii="宋体" w:hAnsi="宋体"/>
                <w:szCs w:val="21"/>
              </w:rPr>
              <w:t>HS-OT108</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ascii="宋体" w:hAnsi="宋体"/>
                <w:szCs w:val="21"/>
              </w:rPr>
              <w:t>2</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华狮、苏州好博、硕博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智能磨砂板</w:t>
            </w:r>
          </w:p>
        </w:tc>
        <w:tc>
          <w:tcPr>
            <w:tcW w:w="2117" w:type="dxa"/>
          </w:tcPr>
          <w:p>
            <w:pPr>
              <w:jc w:val="center"/>
              <w:rPr>
                <w:rFonts w:ascii="宋体" w:hAnsi="宋体"/>
                <w:szCs w:val="21"/>
              </w:rPr>
            </w:pPr>
            <w:r>
              <w:rPr>
                <w:rFonts w:hint="eastAsia" w:ascii="宋体" w:hAnsi="宋体"/>
                <w:szCs w:val="21"/>
              </w:rPr>
              <w:t>HS-MTABLE01</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华狮、苏州好博、硕博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锲型垫</w:t>
            </w:r>
          </w:p>
        </w:tc>
        <w:tc>
          <w:tcPr>
            <w:tcW w:w="2117" w:type="dxa"/>
          </w:tcPr>
          <w:p>
            <w:pPr>
              <w:jc w:val="center"/>
              <w:rPr>
                <w:rFonts w:ascii="宋体" w:hAnsi="宋体"/>
                <w:szCs w:val="21"/>
              </w:rPr>
            </w:pPr>
            <w:r>
              <w:rPr>
                <w:rFonts w:hint="eastAsia" w:ascii="宋体" w:hAnsi="宋体"/>
                <w:szCs w:val="21"/>
              </w:rPr>
              <w:t>HS-PT416</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华狮、苏州好博、硕博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手部多功能训练桌(软件款)</w:t>
            </w:r>
          </w:p>
        </w:tc>
        <w:tc>
          <w:tcPr>
            <w:tcW w:w="2117" w:type="dxa"/>
          </w:tcPr>
          <w:p>
            <w:pPr>
              <w:jc w:val="center"/>
              <w:rPr>
                <w:rFonts w:ascii="宋体" w:hAnsi="宋体"/>
                <w:szCs w:val="21"/>
              </w:rPr>
            </w:pPr>
            <w:r>
              <w:rPr>
                <w:rFonts w:hint="eastAsia" w:ascii="宋体" w:hAnsi="宋体"/>
                <w:szCs w:val="21"/>
              </w:rPr>
              <w:t>HS-OT130</w:t>
            </w:r>
          </w:p>
        </w:tc>
        <w:tc>
          <w:tcPr>
            <w:tcW w:w="1416" w:type="dxa"/>
          </w:tcPr>
          <w:p>
            <w:pPr>
              <w:jc w:val="center"/>
              <w:rPr>
                <w:rFonts w:ascii="宋体" w:hAnsi="宋体"/>
                <w:szCs w:val="21"/>
              </w:rPr>
            </w:pPr>
            <w:r>
              <w:rPr>
                <w:rFonts w:hint="eastAsia" w:eastAsia="仿宋_GB2312"/>
                <w:szCs w:val="21"/>
              </w:rPr>
              <w:t>详见需求参数</w:t>
            </w:r>
          </w:p>
        </w:tc>
        <w:tc>
          <w:tcPr>
            <w:tcW w:w="893" w:type="dxa"/>
          </w:tcPr>
          <w:p>
            <w:pPr>
              <w:jc w:val="center"/>
              <w:rPr>
                <w:rFonts w:ascii="宋体" w:hAnsi="宋体"/>
                <w:szCs w:val="21"/>
              </w:rPr>
            </w:pPr>
            <w:r>
              <w:rPr>
                <w:rFonts w:hint="eastAsia"/>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华狮、苏州好博、硕博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hint="eastAsia"/>
                <w:szCs w:val="21"/>
              </w:rPr>
              <w:t>数字OT训练系统</w:t>
            </w:r>
          </w:p>
        </w:tc>
        <w:tc>
          <w:tcPr>
            <w:tcW w:w="2117" w:type="dxa"/>
            <w:vAlign w:val="center"/>
          </w:tcPr>
          <w:p>
            <w:pPr>
              <w:jc w:val="center"/>
              <w:rPr>
                <w:rFonts w:ascii="宋体" w:hAnsi="宋体"/>
                <w:szCs w:val="21"/>
              </w:rPr>
            </w:pPr>
            <w:r>
              <w:rPr>
                <w:rFonts w:hint="eastAsia" w:ascii="宋体" w:hAnsi="宋体"/>
                <w:szCs w:val="21"/>
              </w:rPr>
              <w:t>HS-OT02</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vAlign w:val="center"/>
          </w:tcPr>
          <w:p>
            <w:pPr>
              <w:jc w:val="center"/>
              <w:rPr>
                <w:rFonts w:hint="eastAsia" w:ascii="宋体" w:hAnsi="宋体"/>
                <w:szCs w:val="21"/>
              </w:rPr>
            </w:pPr>
            <w:r>
              <w:rPr>
                <w:rFonts w:hint="eastAsia" w:ascii="宋体" w:hAnsi="宋体"/>
                <w:szCs w:val="21"/>
              </w:rPr>
              <w:t>华狮、苏州好博、硕博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vAlign w:val="center"/>
          </w:tcPr>
          <w:p>
            <w:pPr>
              <w:jc w:val="center"/>
              <w:rPr>
                <w:rFonts w:ascii="宋体" w:hAnsi="宋体"/>
                <w:szCs w:val="21"/>
              </w:rPr>
            </w:pPr>
            <w:r>
              <w:rPr>
                <w:rFonts w:hint="eastAsia"/>
                <w:szCs w:val="21"/>
              </w:rPr>
              <w:t>情景互动训练系统</w:t>
            </w:r>
          </w:p>
        </w:tc>
        <w:tc>
          <w:tcPr>
            <w:tcW w:w="2117" w:type="dxa"/>
            <w:vAlign w:val="center"/>
          </w:tcPr>
          <w:p>
            <w:pPr>
              <w:jc w:val="center"/>
              <w:rPr>
                <w:rFonts w:ascii="宋体" w:hAnsi="宋体"/>
                <w:szCs w:val="21"/>
              </w:rPr>
            </w:pPr>
            <w:r>
              <w:rPr>
                <w:rFonts w:hint="eastAsia" w:ascii="宋体" w:hAnsi="宋体"/>
                <w:szCs w:val="21"/>
              </w:rPr>
              <w:t>HS-QJ01</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vAlign w:val="center"/>
          </w:tcPr>
          <w:p>
            <w:pPr>
              <w:jc w:val="center"/>
              <w:rPr>
                <w:rFonts w:ascii="宋体" w:hAnsi="宋体"/>
                <w:szCs w:val="21"/>
              </w:rPr>
            </w:pPr>
          </w:p>
        </w:tc>
        <w:tc>
          <w:tcPr>
            <w:tcW w:w="864" w:type="dxa"/>
            <w:vAlign w:val="center"/>
          </w:tcPr>
          <w:p>
            <w:pPr>
              <w:jc w:val="center"/>
              <w:rPr>
                <w:rFonts w:ascii="宋体" w:hAnsi="宋体"/>
                <w:szCs w:val="21"/>
              </w:rPr>
            </w:pPr>
          </w:p>
        </w:tc>
        <w:tc>
          <w:tcPr>
            <w:tcW w:w="1300" w:type="dxa"/>
            <w:vAlign w:val="center"/>
          </w:tcPr>
          <w:p>
            <w:pPr>
              <w:jc w:val="center"/>
              <w:rPr>
                <w:rFonts w:hint="eastAsia" w:ascii="宋体" w:hAnsi="宋体"/>
                <w:szCs w:val="21"/>
              </w:rPr>
            </w:pPr>
            <w:r>
              <w:rPr>
                <w:rFonts w:hint="eastAsia" w:ascii="宋体" w:hAnsi="宋体"/>
                <w:szCs w:val="21"/>
              </w:rPr>
              <w:t>华狮、苏州好博、硕博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自助具</w:t>
            </w:r>
          </w:p>
        </w:tc>
        <w:tc>
          <w:tcPr>
            <w:tcW w:w="2117" w:type="dxa"/>
          </w:tcPr>
          <w:p>
            <w:pPr>
              <w:jc w:val="center"/>
              <w:rPr>
                <w:rFonts w:ascii="宋体" w:hAnsi="宋体"/>
                <w:szCs w:val="21"/>
              </w:rPr>
            </w:pPr>
            <w:r>
              <w:rPr>
                <w:rFonts w:hint="eastAsia" w:ascii="宋体" w:hAnsi="宋体"/>
                <w:szCs w:val="21"/>
              </w:rPr>
              <w:t>HS-ZZJ</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华狮、苏州好博、硕博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5"/>
              </w:numPr>
              <w:jc w:val="center"/>
              <w:rPr>
                <w:rFonts w:ascii="宋体" w:hAnsi="宋体"/>
                <w:szCs w:val="21"/>
              </w:rPr>
            </w:pPr>
          </w:p>
        </w:tc>
        <w:tc>
          <w:tcPr>
            <w:tcW w:w="1777" w:type="dxa"/>
          </w:tcPr>
          <w:p>
            <w:pPr>
              <w:jc w:val="center"/>
              <w:rPr>
                <w:rFonts w:ascii="宋体" w:hAnsi="宋体"/>
                <w:szCs w:val="21"/>
              </w:rPr>
            </w:pPr>
            <w:r>
              <w:rPr>
                <w:rFonts w:hint="eastAsia"/>
                <w:szCs w:val="21"/>
              </w:rPr>
              <w:t>康复工程（热塑材料简易制作工具）</w:t>
            </w:r>
          </w:p>
        </w:tc>
        <w:tc>
          <w:tcPr>
            <w:tcW w:w="2117" w:type="dxa"/>
          </w:tcPr>
          <w:p>
            <w:pPr>
              <w:jc w:val="center"/>
              <w:rPr>
                <w:rFonts w:ascii="宋体" w:hAnsi="宋体"/>
                <w:szCs w:val="21"/>
              </w:rPr>
            </w:pPr>
            <w:r>
              <w:rPr>
                <w:rFonts w:hint="eastAsia" w:ascii="宋体" w:hAnsi="宋体"/>
                <w:szCs w:val="21"/>
              </w:rPr>
              <w:t>KS</w:t>
            </w:r>
          </w:p>
        </w:tc>
        <w:tc>
          <w:tcPr>
            <w:tcW w:w="1416" w:type="dxa"/>
          </w:tcPr>
          <w:p>
            <w:pPr>
              <w:jc w:val="center"/>
              <w:rPr>
                <w:rFonts w:ascii="宋体" w:hAnsi="宋体"/>
                <w:szCs w:val="21"/>
              </w:rPr>
            </w:pPr>
            <w:r>
              <w:rPr>
                <w:rFonts w:hint="eastAsia" w:eastAsia="仿宋_GB2312"/>
                <w:szCs w:val="21"/>
              </w:rPr>
              <w:t>详见需求参数</w:t>
            </w:r>
          </w:p>
        </w:tc>
        <w:tc>
          <w:tcPr>
            <w:tcW w:w="893" w:type="dxa"/>
            <w:vAlign w:val="center"/>
          </w:tcPr>
          <w:p>
            <w:pPr>
              <w:jc w:val="center"/>
              <w:rPr>
                <w:rFonts w:ascii="宋体" w:hAnsi="宋体"/>
                <w:szCs w:val="21"/>
              </w:rPr>
            </w:pPr>
            <w:r>
              <w:rPr>
                <w:rFonts w:hint="eastAsia" w:ascii="宋体" w:hAnsi="宋体"/>
                <w:szCs w:val="21"/>
              </w:rPr>
              <w:t>1</w:t>
            </w: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r>
              <w:rPr>
                <w:rFonts w:hint="eastAsia" w:ascii="宋体" w:hAnsi="宋体"/>
                <w:szCs w:val="21"/>
              </w:rPr>
              <w:t>科莱瑞迪、苏州好博、硕博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pPr>
              <w:numPr>
                <w:ilvl w:val="0"/>
                <w:numId w:val="0"/>
              </w:numPr>
              <w:ind w:leftChars="0"/>
              <w:jc w:val="both"/>
              <w:rPr>
                <w:rFonts w:ascii="宋体" w:hAnsi="宋体"/>
                <w:szCs w:val="21"/>
              </w:rPr>
            </w:pPr>
          </w:p>
        </w:tc>
        <w:tc>
          <w:tcPr>
            <w:tcW w:w="1777" w:type="dxa"/>
          </w:tcPr>
          <w:p>
            <w:pPr>
              <w:jc w:val="center"/>
              <w:rPr>
                <w:rFonts w:hint="eastAsia"/>
                <w:szCs w:val="21"/>
              </w:rPr>
            </w:pPr>
            <w:r>
              <w:rPr>
                <w:rFonts w:hint="eastAsia" w:ascii="宋体" w:hAnsi="宋体"/>
                <w:b/>
                <w:bCs/>
                <w:szCs w:val="21"/>
              </w:rPr>
              <w:t>合计</w:t>
            </w:r>
          </w:p>
        </w:tc>
        <w:tc>
          <w:tcPr>
            <w:tcW w:w="2117" w:type="dxa"/>
          </w:tcPr>
          <w:p>
            <w:pPr>
              <w:jc w:val="center"/>
              <w:rPr>
                <w:rFonts w:hint="eastAsia" w:ascii="宋体" w:hAnsi="宋体"/>
                <w:szCs w:val="21"/>
              </w:rPr>
            </w:pPr>
          </w:p>
        </w:tc>
        <w:tc>
          <w:tcPr>
            <w:tcW w:w="1416" w:type="dxa"/>
          </w:tcPr>
          <w:p>
            <w:pPr>
              <w:jc w:val="center"/>
              <w:rPr>
                <w:rFonts w:hint="eastAsia" w:eastAsia="仿宋_GB2312"/>
                <w:szCs w:val="21"/>
              </w:rPr>
            </w:pPr>
          </w:p>
        </w:tc>
        <w:tc>
          <w:tcPr>
            <w:tcW w:w="893" w:type="dxa"/>
            <w:vAlign w:val="center"/>
          </w:tcPr>
          <w:p>
            <w:pPr>
              <w:jc w:val="center"/>
              <w:rPr>
                <w:rFonts w:hint="eastAsia" w:ascii="宋体" w:hAnsi="宋体"/>
                <w:szCs w:val="21"/>
              </w:rPr>
            </w:pPr>
          </w:p>
        </w:tc>
        <w:tc>
          <w:tcPr>
            <w:tcW w:w="841" w:type="dxa"/>
          </w:tcPr>
          <w:p>
            <w:pPr>
              <w:jc w:val="center"/>
              <w:rPr>
                <w:rFonts w:ascii="宋体" w:hAnsi="宋体"/>
                <w:szCs w:val="21"/>
              </w:rPr>
            </w:pPr>
          </w:p>
        </w:tc>
        <w:tc>
          <w:tcPr>
            <w:tcW w:w="864" w:type="dxa"/>
          </w:tcPr>
          <w:p>
            <w:pPr>
              <w:jc w:val="center"/>
              <w:rPr>
                <w:rFonts w:ascii="宋体" w:hAnsi="宋体"/>
                <w:szCs w:val="21"/>
              </w:rPr>
            </w:pPr>
          </w:p>
        </w:tc>
        <w:tc>
          <w:tcPr>
            <w:tcW w:w="1300" w:type="dxa"/>
          </w:tcPr>
          <w:p>
            <w:pPr>
              <w:jc w:val="center"/>
              <w:rPr>
                <w:rFonts w:hint="eastAsia" w:ascii="宋体" w:hAnsi="宋体"/>
                <w:szCs w:val="21"/>
              </w:rPr>
            </w:pPr>
          </w:p>
        </w:tc>
      </w:tr>
    </w:tbl>
    <w:p>
      <w:pPr>
        <w:pStyle w:val="2"/>
        <w:ind w:left="223" w:firstLine="0"/>
      </w:pPr>
    </w:p>
    <w:p>
      <w:pPr>
        <w:rPr>
          <w:rFonts w:hint="eastAsia" w:ascii="仿宋_GB2312" w:eastAsia="仿宋_GB2312"/>
          <w:b/>
          <w:bCs/>
          <w:sz w:val="28"/>
          <w:szCs w:val="28"/>
          <w:lang w:val="en-US" w:eastAsia="zh-CN"/>
        </w:rPr>
      </w:pPr>
    </w:p>
    <w:p>
      <w:pPr>
        <w:rPr>
          <w:rFonts w:hint="eastAsia" w:ascii="仿宋_GB2312" w:eastAsia="仿宋_GB2312"/>
          <w:b/>
          <w:bCs/>
          <w:sz w:val="28"/>
          <w:szCs w:val="28"/>
          <w:lang w:val="en-US" w:eastAsia="zh-CN"/>
        </w:rPr>
      </w:pPr>
    </w:p>
    <w:p>
      <w:pPr>
        <w:rPr>
          <w:rFonts w:hint="eastAsia" w:ascii="仿宋_GB2312" w:eastAsia="仿宋_GB2312"/>
          <w:b/>
          <w:bCs/>
          <w:sz w:val="28"/>
          <w:szCs w:val="28"/>
          <w:lang w:val="en-US" w:eastAsia="zh-CN"/>
        </w:rPr>
      </w:pPr>
    </w:p>
    <w:p>
      <w:pPr>
        <w:rPr>
          <w:rFonts w:hint="eastAsia" w:ascii="仿宋_GB2312" w:eastAsia="仿宋_GB2312"/>
          <w:b/>
          <w:bCs/>
          <w:sz w:val="28"/>
          <w:szCs w:val="28"/>
          <w:lang w:val="en-US" w:eastAsia="zh-CN"/>
        </w:rPr>
      </w:pPr>
    </w:p>
    <w:p>
      <w:pPr>
        <w:rPr>
          <w:rFonts w:hint="eastAsia" w:ascii="仿宋_GB2312" w:eastAsia="仿宋_GB2312"/>
          <w:b/>
          <w:bCs/>
          <w:sz w:val="28"/>
          <w:szCs w:val="28"/>
          <w:lang w:val="en-US" w:eastAsia="zh-CN"/>
        </w:rPr>
      </w:pPr>
    </w:p>
    <w:p>
      <w:pPr>
        <w:rPr>
          <w:rFonts w:hint="eastAsia" w:ascii="仿宋_GB2312" w:eastAsia="仿宋_GB2312"/>
          <w:b/>
          <w:bCs/>
          <w:sz w:val="28"/>
          <w:szCs w:val="28"/>
          <w:lang w:val="en-US" w:eastAsia="zh-CN"/>
        </w:rPr>
      </w:pPr>
    </w:p>
    <w:p>
      <w:pPr>
        <w:rPr>
          <w:rFonts w:hint="eastAsia" w:ascii="仿宋_GB2312" w:eastAsia="仿宋_GB2312"/>
          <w:b/>
          <w:bCs/>
          <w:sz w:val="28"/>
          <w:szCs w:val="28"/>
          <w:lang w:val="en-US" w:eastAsia="zh-CN"/>
        </w:rPr>
      </w:pPr>
    </w:p>
    <w:p>
      <w:pPr>
        <w:rPr>
          <w:rFonts w:hint="eastAsia" w:ascii="仿宋_GB2312" w:eastAsia="仿宋_GB2312"/>
          <w:b/>
          <w:bCs/>
          <w:sz w:val="28"/>
          <w:szCs w:val="28"/>
          <w:lang w:val="en-US" w:eastAsia="zh-CN"/>
        </w:rPr>
      </w:pPr>
    </w:p>
    <w:p>
      <w:pPr>
        <w:rPr>
          <w:rFonts w:ascii="仿宋_GB2312" w:eastAsia="仿宋_GB2312"/>
          <w:b/>
          <w:bCs/>
          <w:sz w:val="28"/>
          <w:szCs w:val="28"/>
        </w:rPr>
      </w:pPr>
      <w:r>
        <w:rPr>
          <w:rFonts w:hint="eastAsia" w:ascii="仿宋_GB2312" w:eastAsia="仿宋_GB2312"/>
          <w:b/>
          <w:bCs/>
          <w:sz w:val="28"/>
          <w:szCs w:val="28"/>
          <w:lang w:val="en-US" w:eastAsia="zh-CN"/>
        </w:rPr>
        <w:t>四</w:t>
      </w:r>
      <w:r>
        <w:rPr>
          <w:rFonts w:hint="eastAsia" w:ascii="仿宋_GB2312" w:eastAsia="仿宋_GB2312"/>
          <w:b/>
          <w:bCs/>
          <w:sz w:val="28"/>
          <w:szCs w:val="28"/>
        </w:rPr>
        <w:t>、实验（训）室平面图及布局图</w:t>
      </w:r>
    </w:p>
    <w:tbl>
      <w:tblPr>
        <w:tblStyle w:val="6"/>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376"/>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PrEx>
        <w:trPr>
          <w:trHeight w:val="13075" w:hRule="atLeast"/>
          <w:jc w:val="center"/>
        </w:trPr>
        <w:tc>
          <w:tcPr>
            <w:tcW w:w="9376" w:type="dxa"/>
          </w:tcPr>
          <w:p>
            <w:pPr>
              <w:jc w:val="center"/>
            </w:pPr>
            <w:r>
              <w:rPr>
                <w:rFonts w:hint="eastAsia"/>
              </w:rPr>
              <w:drawing>
                <wp:inline distT="0" distB="0" distL="114300" distR="114300">
                  <wp:extent cx="5901055" cy="3436620"/>
                  <wp:effectExtent l="0" t="0" r="4445" b="11430"/>
                  <wp:docPr id="4" name="图片 2" descr="永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永宁"/>
                          <pic:cNvPicPr>
                            <a:picLocks noChangeAspect="1"/>
                          </pic:cNvPicPr>
                        </pic:nvPicPr>
                        <pic:blipFill>
                          <a:blip r:embed="rId9"/>
                          <a:stretch>
                            <a:fillRect/>
                          </a:stretch>
                        </pic:blipFill>
                        <pic:spPr>
                          <a:xfrm>
                            <a:off x="0" y="0"/>
                            <a:ext cx="5901055" cy="3436620"/>
                          </a:xfrm>
                          <a:prstGeom prst="rect">
                            <a:avLst/>
                          </a:prstGeom>
                          <a:noFill/>
                          <a:ln>
                            <a:noFill/>
                          </a:ln>
                        </pic:spPr>
                      </pic:pic>
                    </a:graphicData>
                  </a:graphic>
                </wp:inline>
              </w:drawing>
            </w:r>
            <w:r>
              <w:rPr>
                <w:rFonts w:hint="eastAsia" w:eastAsia="仿宋_GB2312"/>
                <w:sz w:val="28"/>
                <w:szCs w:val="28"/>
              </w:rPr>
              <w:t>运动大厅实验室</w:t>
            </w:r>
          </w:p>
          <w:p>
            <w:pPr>
              <w:ind w:firstLine="630" w:firstLineChars="300"/>
            </w:pPr>
          </w:p>
          <w:p>
            <w:pPr>
              <w:ind w:firstLine="630" w:firstLineChars="300"/>
            </w:pPr>
            <w:r>
              <w:drawing>
                <wp:inline distT="0" distB="0" distL="114300" distR="114300">
                  <wp:extent cx="5928995" cy="3531870"/>
                  <wp:effectExtent l="0" t="0" r="14605" b="11430"/>
                  <wp:docPr id="3" name="图片 1" descr="113886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138862625"/>
                          <pic:cNvPicPr>
                            <a:picLocks noChangeAspect="1"/>
                          </pic:cNvPicPr>
                        </pic:nvPicPr>
                        <pic:blipFill>
                          <a:blip r:embed="rId10"/>
                          <a:stretch>
                            <a:fillRect/>
                          </a:stretch>
                        </pic:blipFill>
                        <pic:spPr>
                          <a:xfrm>
                            <a:off x="0" y="0"/>
                            <a:ext cx="5928995" cy="353187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075" w:hRule="atLeast"/>
          <w:jc w:val="center"/>
        </w:trPr>
        <w:tc>
          <w:tcPr>
            <w:tcW w:w="9376" w:type="dxa"/>
          </w:tcPr>
          <w:p>
            <w:pPr>
              <w:ind w:firstLine="630" w:firstLineChars="300"/>
            </w:pPr>
            <w:r>
              <w:drawing>
                <wp:inline distT="0" distB="0" distL="114300" distR="114300">
                  <wp:extent cx="5746750" cy="2751455"/>
                  <wp:effectExtent l="0" t="0" r="6350"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746750" cy="2751455"/>
                          </a:xfrm>
                          <a:prstGeom prst="rect">
                            <a:avLst/>
                          </a:prstGeom>
                          <a:noFill/>
                          <a:ln>
                            <a:noFill/>
                          </a:ln>
                        </pic:spPr>
                      </pic:pic>
                    </a:graphicData>
                  </a:graphic>
                </wp:inline>
              </w:drawing>
            </w:r>
            <w:r>
              <w:drawing>
                <wp:inline distT="0" distB="0" distL="114300" distR="114300">
                  <wp:extent cx="5845175" cy="2760980"/>
                  <wp:effectExtent l="0" t="0" r="3175"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845175" cy="2760980"/>
                          </a:xfrm>
                          <a:prstGeom prst="rect">
                            <a:avLst/>
                          </a:prstGeom>
                          <a:noFill/>
                          <a:ln>
                            <a:noFill/>
                          </a:ln>
                        </pic:spPr>
                      </pic:pic>
                    </a:graphicData>
                  </a:graphic>
                </wp:inline>
              </w:drawing>
            </w:r>
            <w:r>
              <w:rPr>
                <w:rFonts w:hint="eastAsia"/>
              </w:rPr>
              <w:drawing>
                <wp:inline distT="0" distB="0" distL="114300" distR="114300">
                  <wp:extent cx="5814060" cy="2589530"/>
                  <wp:effectExtent l="0" t="0" r="15240" b="1270"/>
                  <wp:docPr id="5" name="图片 3" descr="7f73bf14287cf18744fe13a1f931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7f73bf14287cf18744fe13a1f93169a"/>
                          <pic:cNvPicPr>
                            <a:picLocks noChangeAspect="1"/>
                          </pic:cNvPicPr>
                        </pic:nvPicPr>
                        <pic:blipFill>
                          <a:blip r:embed="rId13"/>
                          <a:stretch>
                            <a:fillRect/>
                          </a:stretch>
                        </pic:blipFill>
                        <pic:spPr>
                          <a:xfrm>
                            <a:off x="0" y="0"/>
                            <a:ext cx="5814060" cy="258953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075" w:hRule="atLeast"/>
          <w:jc w:val="center"/>
        </w:trPr>
        <w:tc>
          <w:tcPr>
            <w:tcW w:w="9376" w:type="dxa"/>
          </w:tcPr>
          <w:p>
            <w:pPr>
              <w:ind w:firstLine="630" w:firstLineChars="300"/>
            </w:pPr>
            <w:r>
              <w:drawing>
                <wp:inline distT="0" distB="0" distL="114300" distR="114300">
                  <wp:extent cx="9011920" cy="5291455"/>
                  <wp:effectExtent l="0" t="0" r="17780" b="4445"/>
                  <wp:docPr id="8" name="图片 2" descr="医院科室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医院科室图-01"/>
                          <pic:cNvPicPr>
                            <a:picLocks noChangeAspect="1"/>
                          </pic:cNvPicPr>
                        </pic:nvPicPr>
                        <pic:blipFill>
                          <a:blip r:embed="rId14"/>
                          <a:stretch>
                            <a:fillRect/>
                          </a:stretch>
                        </pic:blipFill>
                        <pic:spPr>
                          <a:xfrm>
                            <a:off x="0" y="0"/>
                            <a:ext cx="9011920" cy="5291455"/>
                          </a:xfrm>
                          <a:prstGeom prst="rect">
                            <a:avLst/>
                          </a:prstGeom>
                        </pic:spPr>
                      </pic:pic>
                    </a:graphicData>
                  </a:graphic>
                </wp:inline>
              </w:drawing>
            </w:r>
          </w:p>
        </w:tc>
      </w:tr>
    </w:tbl>
    <w:p>
      <w:pPr>
        <w:ind w:firstLine="480" w:firstLineChars="200"/>
        <w:rPr>
          <w:sz w:val="24"/>
        </w:rPr>
      </w:pPr>
    </w:p>
    <w:p>
      <w:pPr>
        <w:sectPr>
          <w:pgSz w:w="11906" w:h="16838"/>
          <w:pgMar w:top="1134" w:right="1134" w:bottom="1134" w:left="1134" w:header="851" w:footer="992" w:gutter="0"/>
          <w:cols w:space="720" w:num="1"/>
          <w:docGrid w:type="linesAndChars" w:linePitch="312" w:charSpace="0"/>
        </w:sectPr>
      </w:pPr>
    </w:p>
    <w:p>
      <w:pPr>
        <w:ind w:firstLine="281" w:firstLineChars="100"/>
        <w:jc w:val="center"/>
        <w:rPr>
          <w:rFonts w:ascii="仿宋_GB2312" w:eastAsia="仿宋_GB2312"/>
          <w:b/>
          <w:bCs/>
          <w:sz w:val="28"/>
          <w:szCs w:val="28"/>
        </w:rPr>
      </w:pPr>
      <w:r>
        <w:rPr>
          <w:rFonts w:hint="eastAsia" w:ascii="仿宋_GB2312" w:eastAsia="仿宋_GB2312"/>
          <w:b/>
          <w:bCs/>
          <w:sz w:val="28"/>
          <w:szCs w:val="28"/>
        </w:rPr>
        <w:t>康复治疗学设备参数</w:t>
      </w:r>
    </w:p>
    <w:tbl>
      <w:tblPr>
        <w:tblStyle w:val="7"/>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68"/>
        <w:gridCol w:w="1001"/>
        <w:gridCol w:w="5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序号</w:t>
            </w:r>
          </w:p>
        </w:tc>
        <w:tc>
          <w:tcPr>
            <w:tcW w:w="1268" w:type="dxa"/>
          </w:tcPr>
          <w:p>
            <w:pPr>
              <w:jc w:val="center"/>
              <w:rPr>
                <w:b/>
                <w:bCs/>
              </w:rPr>
            </w:pPr>
            <w:r>
              <w:rPr>
                <w:rFonts w:hint="eastAsia"/>
                <w:b/>
                <w:bCs/>
              </w:rPr>
              <w:t>设备名称</w:t>
            </w:r>
          </w:p>
        </w:tc>
        <w:tc>
          <w:tcPr>
            <w:tcW w:w="1001" w:type="dxa"/>
          </w:tcPr>
          <w:p>
            <w:pPr>
              <w:jc w:val="center"/>
              <w:rPr>
                <w:b/>
                <w:bCs/>
              </w:rPr>
            </w:pPr>
            <w:r>
              <w:rPr>
                <w:rFonts w:hint="eastAsia"/>
                <w:b/>
                <w:bCs/>
              </w:rPr>
              <w:t>台/套数</w:t>
            </w:r>
          </w:p>
        </w:tc>
        <w:tc>
          <w:tcPr>
            <w:tcW w:w="5113" w:type="dxa"/>
          </w:tcPr>
          <w:p>
            <w:pPr>
              <w:jc w:val="center"/>
              <w:rPr>
                <w:b/>
                <w:bCs/>
              </w:rPr>
            </w:pPr>
            <w:bookmarkStart w:id="5" w:name="_GoBack"/>
            <w:bookmarkEnd w:id="5"/>
            <w:r>
              <w:rPr>
                <w:rFonts w:hint="eastAsia"/>
                <w:b/>
                <w:bCs/>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w:t>
            </w:r>
          </w:p>
        </w:tc>
        <w:tc>
          <w:tcPr>
            <w:tcW w:w="1268" w:type="dxa"/>
          </w:tcPr>
          <w:p>
            <w:pPr>
              <w:jc w:val="center"/>
              <w:rPr>
                <w:b/>
                <w:bCs/>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多关节活动测量表</w:t>
            </w:r>
          </w:p>
        </w:tc>
        <w:tc>
          <w:tcPr>
            <w:tcW w:w="1001" w:type="dxa"/>
          </w:tcPr>
          <w:p>
            <w:pPr>
              <w:jc w:val="center"/>
              <w:rPr>
                <w:b/>
                <w:bCs/>
              </w:rPr>
            </w:pPr>
            <w:r>
              <w:rPr>
                <w:rFonts w:hint="eastAsia"/>
                <w:b/>
                <w:bCs/>
              </w:rPr>
              <w:t>6</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1、表盘直径≥6.5cm,表盘旋转角度360°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w:t>
            </w:r>
          </w:p>
        </w:tc>
        <w:tc>
          <w:tcPr>
            <w:tcW w:w="1268" w:type="dxa"/>
          </w:tcPr>
          <w:p>
            <w:pPr>
              <w:jc w:val="center"/>
              <w:rPr>
                <w:b/>
                <w:bCs/>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测角计</w:t>
            </w:r>
          </w:p>
        </w:tc>
        <w:tc>
          <w:tcPr>
            <w:tcW w:w="1001" w:type="dxa"/>
          </w:tcPr>
          <w:p>
            <w:pPr>
              <w:jc w:val="center"/>
              <w:rPr>
                <w:b/>
                <w:bCs/>
              </w:rPr>
            </w:pPr>
            <w:r>
              <w:rPr>
                <w:rFonts w:hint="eastAsia"/>
                <w:b/>
                <w:bCs/>
              </w:rPr>
              <w:t>6</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1、35X17X5cm，测量器具5个。测量肘、手指等关节活动范围及脊柱弯曲程度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3</w:t>
            </w:r>
          </w:p>
        </w:tc>
        <w:tc>
          <w:tcPr>
            <w:tcW w:w="1268"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腕关节训练器</w:t>
            </w:r>
          </w:p>
        </w:tc>
        <w:tc>
          <w:tcPr>
            <w:tcW w:w="1001" w:type="dxa"/>
          </w:tcPr>
          <w:p>
            <w:pPr>
              <w:jc w:val="center"/>
              <w:rPr>
                <w:b/>
                <w:bCs/>
              </w:rPr>
            </w:pPr>
            <w:r>
              <w:rPr>
                <w:rFonts w:hint="eastAsia"/>
                <w:b/>
                <w:bCs/>
              </w:rPr>
              <w:t>2</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1、53×20×100cm,平台升降调节范围0～63cm，最大阻尼980N·cm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4</w:t>
            </w:r>
          </w:p>
        </w:tc>
        <w:tc>
          <w:tcPr>
            <w:tcW w:w="1268" w:type="dxa"/>
          </w:tcPr>
          <w:p>
            <w:pPr>
              <w:jc w:val="center"/>
              <w:rPr>
                <w:b/>
                <w:bCs/>
              </w:rPr>
            </w:pPr>
            <w:r>
              <w:rPr>
                <w:rFonts w:hint="eastAsia" w:ascii="宋体" w:hAnsi="宋体"/>
                <w:szCs w:val="21"/>
              </w:rPr>
              <w:t>肩关节训练器</w:t>
            </w:r>
          </w:p>
        </w:tc>
        <w:tc>
          <w:tcPr>
            <w:tcW w:w="1001" w:type="dxa"/>
          </w:tcPr>
          <w:p>
            <w:pPr>
              <w:jc w:val="center"/>
              <w:rPr>
                <w:b/>
                <w:bCs/>
              </w:rPr>
            </w:pPr>
            <w:r>
              <w:rPr>
                <w:rFonts w:hint="eastAsia"/>
                <w:b/>
                <w:bCs/>
              </w:rPr>
              <w:t>2</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1、38×35×100cm,高度调节范围0～63cm,手柄至转动轴距离调节范围19～58cm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5</w:t>
            </w:r>
          </w:p>
        </w:tc>
        <w:tc>
          <w:tcPr>
            <w:tcW w:w="1268" w:type="dxa"/>
          </w:tcPr>
          <w:p>
            <w:pPr>
              <w:jc w:val="center"/>
              <w:rPr>
                <w:b/>
                <w:bCs/>
              </w:rPr>
            </w:pPr>
            <w:r>
              <w:rPr>
                <w:rFonts w:hint="eastAsia" w:ascii="宋体" w:hAnsi="宋体"/>
                <w:szCs w:val="21"/>
              </w:rPr>
              <w:t>软卷尺</w:t>
            </w:r>
          </w:p>
        </w:tc>
        <w:tc>
          <w:tcPr>
            <w:tcW w:w="1001" w:type="dxa"/>
          </w:tcPr>
          <w:p>
            <w:pPr>
              <w:jc w:val="center"/>
              <w:rPr>
                <w:b/>
                <w:bCs/>
              </w:rPr>
            </w:pPr>
            <w:r>
              <w:rPr>
                <w:rFonts w:hint="eastAsia"/>
                <w:b/>
                <w:bCs/>
              </w:rPr>
              <w:t>6</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1、用于测量使用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6</w:t>
            </w:r>
          </w:p>
        </w:tc>
        <w:tc>
          <w:tcPr>
            <w:tcW w:w="1268" w:type="dxa"/>
          </w:tcPr>
          <w:p>
            <w:pPr>
              <w:jc w:val="center"/>
              <w:rPr>
                <w:rFonts w:ascii="宋体" w:hAnsi="宋体"/>
                <w:szCs w:val="21"/>
              </w:rPr>
            </w:pPr>
            <w:r>
              <w:rPr>
                <w:rFonts w:hint="eastAsia" w:ascii="宋体" w:hAnsi="宋体"/>
                <w:szCs w:val="21"/>
              </w:rPr>
              <w:t>体操垫</w:t>
            </w:r>
          </w:p>
        </w:tc>
        <w:tc>
          <w:tcPr>
            <w:tcW w:w="1001" w:type="dxa"/>
          </w:tcPr>
          <w:p>
            <w:pPr>
              <w:jc w:val="center"/>
              <w:rPr>
                <w:b/>
                <w:bCs/>
              </w:rPr>
            </w:pPr>
            <w:r>
              <w:rPr>
                <w:rFonts w:hint="eastAsia"/>
                <w:b/>
                <w:bCs/>
              </w:rPr>
              <w:t>2</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1、尺寸：182×122×5cm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7</w:t>
            </w:r>
          </w:p>
        </w:tc>
        <w:tc>
          <w:tcPr>
            <w:tcW w:w="1268" w:type="dxa"/>
          </w:tcPr>
          <w:p>
            <w:pPr>
              <w:jc w:val="center"/>
              <w:rPr>
                <w:b/>
                <w:bCs/>
              </w:rPr>
            </w:pPr>
            <w:r>
              <w:rPr>
                <w:rFonts w:hint="eastAsia" w:ascii="宋体" w:hAnsi="宋体"/>
                <w:szCs w:val="21"/>
              </w:rPr>
              <w:t>功率车</w:t>
            </w:r>
          </w:p>
        </w:tc>
        <w:tc>
          <w:tcPr>
            <w:tcW w:w="1001" w:type="dxa"/>
          </w:tcPr>
          <w:p>
            <w:pPr>
              <w:jc w:val="center"/>
              <w:rPr>
                <w:b/>
                <w:bCs/>
              </w:rPr>
            </w:pPr>
            <w:r>
              <w:rPr>
                <w:rFonts w:hint="eastAsia"/>
                <w:b/>
                <w:bCs/>
              </w:rPr>
              <w:t>2</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展开尺寸：68*65*109CM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包装尺寸：65*25*50cm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数显方式：液晶屏显示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承重范围：100KG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阻力方式：八段微调磁控阻力</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3公斤轮子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毛重:18.5KG</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净重：16KG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8</w:t>
            </w:r>
          </w:p>
        </w:tc>
        <w:tc>
          <w:tcPr>
            <w:tcW w:w="1268" w:type="dxa"/>
          </w:tcPr>
          <w:p>
            <w:pPr>
              <w:jc w:val="center"/>
              <w:rPr>
                <w:b/>
                <w:bCs/>
              </w:rPr>
            </w:pPr>
            <w:r>
              <w:rPr>
                <w:rFonts w:hint="eastAsia" w:ascii="宋体" w:hAnsi="宋体"/>
                <w:szCs w:val="21"/>
              </w:rPr>
              <w:t>矫正镜</w:t>
            </w:r>
          </w:p>
        </w:tc>
        <w:tc>
          <w:tcPr>
            <w:tcW w:w="1001" w:type="dxa"/>
          </w:tcPr>
          <w:p>
            <w:pPr>
              <w:jc w:val="center"/>
              <w:rPr>
                <w:b/>
                <w:bCs/>
              </w:rPr>
            </w:pPr>
            <w:r>
              <w:rPr>
                <w:rFonts w:hint="eastAsia"/>
                <w:b/>
                <w:bCs/>
              </w:rPr>
              <w:t>2</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1、85×71×190cm，镜面玻璃厚度0.5cm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8" w:type="dxa"/>
          </w:tcPr>
          <w:p>
            <w:pPr>
              <w:jc w:val="center"/>
              <w:rPr>
                <w:b/>
                <w:bCs/>
              </w:rPr>
            </w:pPr>
            <w:r>
              <w:rPr>
                <w:rFonts w:hint="eastAsia"/>
                <w:b/>
                <w:bCs/>
              </w:rPr>
              <w:t>9</w:t>
            </w:r>
          </w:p>
        </w:tc>
        <w:tc>
          <w:tcPr>
            <w:tcW w:w="1268" w:type="dxa"/>
          </w:tcPr>
          <w:p>
            <w:pPr>
              <w:jc w:val="center"/>
              <w:rPr>
                <w:b/>
                <w:bCs/>
              </w:rPr>
            </w:pPr>
            <w:r>
              <w:rPr>
                <w:rFonts w:hint="eastAsia" w:ascii="宋体" w:hAnsi="宋体"/>
                <w:szCs w:val="21"/>
              </w:rPr>
              <w:t>平衡板</w:t>
            </w:r>
          </w:p>
        </w:tc>
        <w:tc>
          <w:tcPr>
            <w:tcW w:w="1001" w:type="dxa"/>
          </w:tcPr>
          <w:p>
            <w:pPr>
              <w:jc w:val="center"/>
              <w:rPr>
                <w:b/>
                <w:bCs/>
              </w:rPr>
            </w:pPr>
            <w:r>
              <w:rPr>
                <w:rFonts w:hint="eastAsia"/>
                <w:b/>
                <w:bCs/>
              </w:rPr>
              <w:t>2</w:t>
            </w:r>
          </w:p>
        </w:tc>
        <w:tc>
          <w:tcPr>
            <w:tcW w:w="5113" w:type="dxa"/>
          </w:tcPr>
          <w:p>
            <w:pPr>
              <w:jc w:val="left"/>
              <w:rPr>
                <w:rFonts w:ascii="宋体" w:hAnsi="宋体"/>
                <w:szCs w:val="21"/>
              </w:rPr>
            </w:pPr>
            <w:r>
              <w:rPr>
                <w:rFonts w:hint="eastAsia" w:ascii="微软雅黑" w:hAnsi="微软雅黑" w:eastAsia="微软雅黑" w:cs="微软雅黑"/>
                <w:color w:val="000000"/>
                <w:kern w:val="0"/>
                <w:sz w:val="18"/>
                <w:szCs w:val="18"/>
                <w:lang w:bidi="ar"/>
              </w:rPr>
              <w:t>1、用于病人康复平衡锻炼使用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818" w:type="dxa"/>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10</w:t>
            </w:r>
          </w:p>
          <w:p>
            <w:pPr>
              <w:jc w:val="center"/>
              <w:rPr>
                <w:b/>
                <w:bCs/>
                <w:color w:val="FF0000"/>
              </w:rPr>
            </w:pPr>
          </w:p>
        </w:tc>
        <w:tc>
          <w:tcPr>
            <w:tcW w:w="1268"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活动平板+</w:t>
            </w:r>
          </w:p>
          <w:p>
            <w:pPr>
              <w:jc w:val="center"/>
              <w:rPr>
                <w:b/>
                <w:bCs/>
                <w:color w:val="FF0000"/>
              </w:rPr>
            </w:pPr>
            <w:r>
              <w:rPr>
                <w:rFonts w:hint="eastAsia" w:ascii="宋体" w:hAnsi="宋体"/>
                <w:color w:val="000000" w:themeColor="text1"/>
                <w:szCs w:val="21"/>
                <w14:textFill>
                  <w14:solidFill>
                    <w14:schemeClr w14:val="tx1"/>
                  </w14:solidFill>
                </w14:textFill>
              </w:rPr>
              <w:t>心电图机（12导）</w:t>
            </w:r>
          </w:p>
        </w:tc>
        <w:tc>
          <w:tcPr>
            <w:tcW w:w="1001" w:type="dxa"/>
          </w:tcPr>
          <w:p>
            <w:pPr>
              <w:jc w:val="center"/>
              <w:rPr>
                <w:b/>
                <w:bCs/>
              </w:rPr>
            </w:pPr>
            <w:r>
              <w:rPr>
                <w:rFonts w:hint="eastAsia"/>
                <w:b/>
                <w:bCs/>
              </w:rPr>
              <w:t>1</w:t>
            </w:r>
          </w:p>
          <w:p>
            <w:pPr>
              <w:jc w:val="center"/>
              <w:rPr>
                <w:b/>
                <w:bCs/>
              </w:rPr>
            </w:pP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无线运动血压心电记录仪</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△1.内置运动血压监测运动心电记录仪；</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△2.同步R波触发听诊法无创血压测量，带血压报警；</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△3.可同步无线血氧设备；</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△4.同步数字12导联心电采信，采样率≥8000Hz；</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△5.高效数字滤波，提供基线漂移、肌电干扰及电源和网络噪声抑制；</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△6.频率响应范围至少包含：0.05Hz～150Hz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△7.输入阻抗：≥100兆欧；（提供检测报告）</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△8.共模抑制比：≥120db（提供检测报告</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软件功能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高精度QRS波识别</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内置自动分析专家诊断数据库</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国际标准运动方案配置及用户自定义运动方案</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急停控制</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自动手动方案及负荷控制</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短阵长程静态心电记录</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△可同步自动及手动血压测量，并可兼容其它品牌运动血压</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有全程ST段及斜率趋势图；信号平均心电图；ST/HR loop图；MET及心率、血压、负荷、SPO2、MET同步趋势图</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同步12导ST段自动及对比测量分析</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△符合记录和分析型单道和多道心电图机安全和基本性能专用要求YY0782-2010振幅和间测量通过50.101.2、50.101.3、50.101.3.1、50.101.3.2</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△有心电图向量分析功能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可进行模板操作分析</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过往病例对比功能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Borg指数</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Duke指数计算</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有自动导联检测</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自定义报警及停止标准</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可自动生成及自定义报告</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支持本地及网络操作</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支持Dicom、GDT、MFER、HL7，便于接入各种医院系统</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内置多种运动协议，兼容目前市场上大部分跑台及踏车</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可免费升级动态心电、血压、静态及网络心电</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医用运动平板</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1.磁通量向量控制系统；</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2.RS-232接口自动控制，设有急停开关；</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3.速度范围至少包含: 0.8 - 25 km/h，精度≤0.1 km/h；坡度: ≥0 - 25%，精度≤0.1%；</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4.跑台面积≥50 cm x 150cm，最大负重≥200Kg；</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5.内置医用隔离变压器，交互式减震系统；</w:t>
            </w:r>
          </w:p>
          <w:p>
            <w:pPr>
              <w:widowControl/>
              <w:jc w:val="left"/>
              <w:textAlignment w:val="center"/>
              <w:rPr>
                <w:rFonts w:ascii="宋体" w:hAnsi="宋体"/>
                <w:szCs w:val="21"/>
              </w:rPr>
            </w:pPr>
            <w:r>
              <w:rPr>
                <w:rFonts w:hint="eastAsia" w:ascii="微软雅黑" w:hAnsi="微软雅黑" w:eastAsia="微软雅黑" w:cs="微软雅黑"/>
                <w:color w:val="000000"/>
                <w:kern w:val="0"/>
                <w:sz w:val="18"/>
                <w:szCs w:val="18"/>
                <w:lang w:bidi="ar"/>
              </w:rPr>
              <w:t>6.设有前置及两侧扶手。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11</w:t>
            </w:r>
          </w:p>
        </w:tc>
        <w:tc>
          <w:tcPr>
            <w:tcW w:w="1268" w:type="dxa"/>
          </w:tcPr>
          <w:p>
            <w:pPr>
              <w:jc w:val="center"/>
              <w:rPr>
                <w:b/>
                <w:bCs/>
              </w:rPr>
            </w:pPr>
            <w:r>
              <w:rPr>
                <w:rFonts w:hint="eastAsia"/>
              </w:rPr>
              <w:t>认知功能评估与训练系统</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※1、眼动辅助评估/训练模块</w:t>
            </w:r>
          </w:p>
          <w:p>
            <w:pPr>
              <w:widowControl/>
              <w:jc w:val="left"/>
              <w:textAlignment w:val="center"/>
              <w:rPr>
                <w:rFonts w:ascii="微软雅黑" w:hAnsi="微软雅黑" w:eastAsia="微软雅黑" w:cs="微软雅黑"/>
                <w:color w:val="000000"/>
                <w:kern w:val="0"/>
                <w:sz w:val="18"/>
                <w:szCs w:val="18"/>
                <w:lang w:bidi="ar"/>
              </w:rPr>
            </w:pPr>
            <w:bookmarkStart w:id="1" w:name="_Hlk75781759"/>
            <w:bookmarkStart w:id="2" w:name="_Hlk97800903"/>
            <w:r>
              <w:rPr>
                <w:rFonts w:hint="eastAsia" w:ascii="微软雅黑" w:hAnsi="微软雅黑" w:eastAsia="微软雅黑" w:cs="微软雅黑"/>
                <w:color w:val="000000"/>
                <w:kern w:val="0"/>
                <w:sz w:val="18"/>
                <w:szCs w:val="18"/>
                <w:lang w:bidi="ar"/>
              </w:rPr>
              <w:t>（1）眼动辅助评估：可针对注意力障碍、单侧忽略、阅读障碍、视觉跟踪进行辅助评估；</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（2）眼动训练：可提供注意力训练方案，包括除害虫、余光狗、选购商品、阅读等特制训练题目。</w:t>
            </w:r>
          </w:p>
          <w:bookmarkEnd w:id="1"/>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2、认知障碍评定模块</w:t>
            </w:r>
          </w:p>
          <w:bookmarkEnd w:id="2"/>
          <w:p>
            <w:pPr>
              <w:widowControl/>
              <w:jc w:val="left"/>
              <w:textAlignment w:val="center"/>
              <w:rPr>
                <w:rFonts w:ascii="微软雅黑" w:hAnsi="微软雅黑" w:eastAsia="微软雅黑" w:cs="微软雅黑"/>
                <w:color w:val="000000"/>
                <w:kern w:val="0"/>
                <w:sz w:val="18"/>
                <w:szCs w:val="18"/>
                <w:lang w:bidi="ar"/>
              </w:rPr>
            </w:pPr>
            <w:bookmarkStart w:id="3" w:name="_Hlk97800999"/>
            <w:r>
              <w:rPr>
                <w:rFonts w:hint="eastAsia" w:ascii="微软雅黑" w:hAnsi="微软雅黑" w:eastAsia="微软雅黑" w:cs="微软雅黑"/>
                <w:color w:val="000000"/>
                <w:kern w:val="0"/>
                <w:sz w:val="18"/>
                <w:szCs w:val="18"/>
                <w:lang w:bidi="ar"/>
              </w:rPr>
              <w:t>提供不少于30个神经心理学、认知康复相关量表，以及常规认知功能测验内容，应至少包括：MMSE、MOCA、EC301、星型划销、划消测验、瞬时记忆、反应时检查、威斯康星测验等多种评定筛查工具。评定结果能出具可编辑的评估报告。</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3、认知障碍训练模块</w:t>
            </w:r>
          </w:p>
          <w:p>
            <w:pPr>
              <w:widowControl/>
              <w:jc w:val="left"/>
              <w:textAlignment w:val="center"/>
              <w:rPr>
                <w:rFonts w:ascii="微软雅黑" w:hAnsi="微软雅黑" w:eastAsia="微软雅黑" w:cs="微软雅黑"/>
                <w:color w:val="000000"/>
                <w:kern w:val="0"/>
                <w:sz w:val="18"/>
                <w:szCs w:val="18"/>
                <w:lang w:bidi="ar"/>
              </w:rPr>
            </w:pPr>
            <w:bookmarkStart w:id="4" w:name="_Hlk75781852"/>
            <w:r>
              <w:rPr>
                <w:rFonts w:hint="eastAsia" w:ascii="微软雅黑" w:hAnsi="微软雅黑" w:eastAsia="微软雅黑" w:cs="微软雅黑"/>
                <w:color w:val="000000"/>
                <w:kern w:val="0"/>
                <w:sz w:val="18"/>
                <w:szCs w:val="18"/>
                <w:lang w:bidi="ar"/>
              </w:rPr>
              <w:t>（1）训练系统与评定系统的检查分类相对应，训练应至少包括注意障碍、记忆障碍、失算症、思维障碍以及知觉障碍等5大康复训练模块；</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※（2）AR增强现实训练：AR卡片≥2套，应至少包括常见的动物、植物 、交通工具等常见的ADL生活物品；</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（3）认知功能训练的细分亚型≥5个，且每个亚型的子亚型分类≥3个</w:t>
            </w:r>
            <w:bookmarkEnd w:id="4"/>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（4）训练应具有难度梯度自适应调整算法，医生也可手动调整难易程度。</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4、后台病案管理功能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（1）专业数据库存储功能，能存储上百万条以上的治疗数据；</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（2）可录入并查询病人一般情况、病史、认知评定结果与报告、康复治疗计划及处方设定、信息迁移等；</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（3）可提供完整的统计报表数据分析模块：从训练状态、训练成绩、疑难点分析、训练进步情况等方面分析个体的训练情况。</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5、系统管理功能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（1）可对科室的训练资源进行排班管理，并保证最大程度的利用。</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（2）针对不同的用户可以开通相应的权限；</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（3）对系统操作日志有清晰的记录，包括操作内容、时间、用户等。</w:t>
            </w:r>
          </w:p>
          <w:bookmarkEnd w:id="3"/>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12</w:t>
            </w:r>
          </w:p>
        </w:tc>
        <w:tc>
          <w:tcPr>
            <w:tcW w:w="1268" w:type="dxa"/>
          </w:tcPr>
          <w:p>
            <w:pPr>
              <w:jc w:val="center"/>
              <w:rPr>
                <w:b/>
                <w:bCs/>
              </w:rPr>
            </w:pPr>
            <w:r>
              <w:rPr>
                <w:rFonts w:hint="eastAsia"/>
              </w:rPr>
              <w:t>呼吸测量训练器</w:t>
            </w:r>
          </w:p>
        </w:tc>
        <w:tc>
          <w:tcPr>
            <w:tcW w:w="1001" w:type="dxa"/>
          </w:tcPr>
          <w:p>
            <w:pPr>
              <w:jc w:val="center"/>
              <w:rPr>
                <w:b/>
                <w:bCs/>
              </w:rPr>
            </w:pPr>
            <w:r>
              <w:rPr>
                <w:rFonts w:hint="eastAsia"/>
                <w:b/>
                <w:bCs/>
              </w:rPr>
              <w:t>2</w:t>
            </w:r>
          </w:p>
        </w:tc>
        <w:tc>
          <w:tcPr>
            <w:tcW w:w="5113" w:type="dxa"/>
          </w:tcPr>
          <w:p>
            <w:p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1.肺通气功能主要检测指标包含：FVC （用力肺活量）：FVC、FEV1、FEV3、FEV6、FEV1/FVC、 FEV1/VC Max、FEV3/FVC、PEF、FEF25、FEF50、FEF75、MMEF、Vexp、FET、MEP、MVV等呼气指标，PIF、FIVC、MIP等吸气指标；VC（肺活量）：VC、VT、IRV、ERV、IC、BF(RR)等;肺年龄、体重指数BMI；</w:t>
            </w:r>
          </w:p>
          <w:p>
            <w:p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2.可进行支气管舒张试验，并出具舒张试验报告；</w:t>
            </w:r>
          </w:p>
          <w:p>
            <w:p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3.支持激发试验，并可出具相应报告；</w:t>
            </w:r>
          </w:p>
          <w:p>
            <w:p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4.可进行最大分钟通气量MVV评测；</w:t>
            </w:r>
          </w:p>
          <w:p>
            <w:p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※5.支持呼吸康复检测及训练扩展及无线交互；（提供相关证明材料）</w:t>
            </w:r>
          </w:p>
          <w:p>
            <w:p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6.可检测呼吸肌力MIP，MEP指标，检测时可分别显示流量容积曲线（F-V曲线）、时间容积曲线（V-T曲线）以辅助质控；具中国人预计值和三甲医院主流肺功能仪检测通用的standard预计值；</w:t>
            </w:r>
          </w:p>
          <w:p>
            <w:p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7.便携式设计，可单机使用，也可连接平板电脑使用，也支持与PC电脑、智能电视等屏幕扩展使用，方便床旁及基层医疗卫生机构使用，适用于在社区筛查或现场流调以及卫健部门数据管理等工作开展；</w:t>
            </w:r>
          </w:p>
          <w:p>
            <w:pP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8.具备交叉感染防控的恰当措施，例如拆卸、清洗、消毒传感器连接件，或使用一次性传感器或呼吸过滤器；</w:t>
            </w:r>
          </w:p>
          <w:p>
            <w:pPr>
              <w:rPr>
                <w:rFonts w:ascii="宋体" w:hAnsi="宋体"/>
                <w:szCs w:val="21"/>
              </w:rPr>
            </w:pP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13</w:t>
            </w:r>
          </w:p>
        </w:tc>
        <w:tc>
          <w:tcPr>
            <w:tcW w:w="1268" w:type="dxa"/>
          </w:tcPr>
          <w:p>
            <w:pPr>
              <w:jc w:val="center"/>
              <w:rPr>
                <w:b/>
                <w:bCs/>
              </w:rPr>
            </w:pPr>
            <w:r>
              <w:rPr>
                <w:rFonts w:hint="eastAsia"/>
              </w:rPr>
              <w:t>手功能评估8件套</w:t>
            </w:r>
          </w:p>
        </w:tc>
        <w:tc>
          <w:tcPr>
            <w:tcW w:w="1001" w:type="dxa"/>
          </w:tcPr>
          <w:p>
            <w:pPr>
              <w:jc w:val="center"/>
              <w:rPr>
                <w:b/>
                <w:bCs/>
              </w:rPr>
            </w:pPr>
            <w:r>
              <w:rPr>
                <w:rFonts w:hint="eastAsia"/>
                <w:b/>
                <w:bCs/>
              </w:rPr>
              <w:t>2</w:t>
            </w:r>
          </w:p>
        </w:tc>
        <w:tc>
          <w:tcPr>
            <w:tcW w:w="5113" w:type="dxa"/>
            <w:vAlign w:val="center"/>
          </w:tcPr>
          <w:p>
            <w:pPr>
              <w:widowControl/>
              <w:jc w:val="left"/>
              <w:textAlignment w:val="center"/>
              <w:rPr>
                <w:rFonts w:ascii="宋体" w:hAnsi="宋体"/>
                <w:szCs w:val="21"/>
              </w:rPr>
            </w:pPr>
            <w:r>
              <w:rPr>
                <w:rFonts w:hint="eastAsia"/>
              </w:rPr>
              <w:t>一、手握力器</w:t>
            </w:r>
            <w:r>
              <w:rPr>
                <w:rStyle w:val="10"/>
                <w:rFonts w:hint="default"/>
                <w:lang w:bidi="ar"/>
              </w:rPr>
              <w:t xml:space="preserve">：产品材质为金属。2、双刻度显示，显示握力的单位为英镑或千克（测量范围为：0-200英镑或0—90kg）  3、可调式手柄，有5个档位可调节，即可以在3.5-8.6cm （虎口到指间关节的距离）中调节，各个位置相隔半英寸。4、此握力器是机械制式的，不容易坏。5、该产品的校准“标准”来源于“美国国家标准及技术研究所”（NIST），并且经过专业资格人士的检测。              </w:t>
            </w:r>
            <w:r>
              <w:rPr>
                <w:rStyle w:val="11"/>
                <w:rFonts w:hint="default"/>
                <w:lang w:bidi="ar"/>
              </w:rPr>
              <w:t xml:space="preserve">                                                                      </w:t>
            </w:r>
            <w:r>
              <w:rPr>
                <w:rFonts w:hint="eastAsia"/>
              </w:rPr>
              <w:t>二、手指捏力器</w:t>
            </w:r>
            <w:r>
              <w:rPr>
                <w:rStyle w:val="10"/>
                <w:rFonts w:hint="default"/>
                <w:lang w:bidi="ar"/>
              </w:rPr>
              <w:t xml:space="preserve"> ：1、产品材质为金属，带子材质是尼龙的。2、显示捏力的单位为英镑或牛顿（测量范围为：0-60英镑或0-32KGMS）。                        3、此捏力器是机械制式。4、该产品的校准“标准”来源于“美国国家标准及技术研究所”（NIST），并且经过专业资格人士的检测。                                                       </w:t>
            </w:r>
            <w:r>
              <w:rPr>
                <w:rFonts w:hint="eastAsia"/>
              </w:rPr>
              <w:t>三、手指圆周测量器</w:t>
            </w:r>
            <w:r>
              <w:rPr>
                <w:rStyle w:val="10"/>
                <w:rFonts w:hint="default"/>
                <w:lang w:bidi="ar"/>
              </w:rPr>
              <w:t xml:space="preserve"> ： 1、产品材质为透明塑料和纯棉绑带。2、尺子部分的长度为15厘米。                                     </w:t>
            </w:r>
            <w:r>
              <w:rPr>
                <w:rStyle w:val="11"/>
                <w:rFonts w:hint="default"/>
                <w:lang w:bidi="ar"/>
              </w:rPr>
              <w:t xml:space="preserve">                       </w:t>
            </w:r>
            <w:r>
              <w:rPr>
                <w:rFonts w:hint="eastAsia"/>
              </w:rPr>
              <w:t xml:space="preserve">四、触点测试盘 </w:t>
            </w:r>
            <w:r>
              <w:rPr>
                <w:rStyle w:val="10"/>
                <w:rFonts w:hint="default"/>
                <w:lang w:bidi="ar"/>
              </w:rPr>
              <w:t xml:space="preserve">  ：  1、产品材质为耐磨塑料2、触点之间的距离可以调整，测量神经分布密度的触点之间距离为1-25mm， 2、测试结果是精确的，此结论是在美国手外科学会研讨下得出的。         </w:t>
            </w:r>
            <w:r>
              <w:rPr>
                <w:rStyle w:val="12"/>
                <w:rFonts w:hint="default"/>
                <w:lang w:bidi="ar"/>
              </w:rPr>
              <w:t xml:space="preserve">                                                                                                         </w:t>
            </w:r>
            <w:r>
              <w:rPr>
                <w:rFonts w:hint="eastAsia"/>
              </w:rPr>
              <w:t>五、软尺 ：</w:t>
            </w:r>
            <w:r>
              <w:rPr>
                <w:rStyle w:val="10"/>
                <w:rFonts w:hint="default"/>
                <w:lang w:bidi="ar"/>
              </w:rPr>
              <w:t xml:space="preserve"> 1、产品材质为厚重、光滑白色的苯乙烯材料，耐磨，耐冲击。2、测量的总长为1.5米，测量长度单位可用英寸和厘米表示。                                                                                           </w:t>
            </w:r>
            <w:r>
              <w:rPr>
                <w:rStyle w:val="10"/>
                <w:lang w:bidi="ar"/>
              </w:rPr>
              <w:t>六</w:t>
            </w:r>
            <w:r>
              <w:rPr>
                <w:rFonts w:hint="eastAsia"/>
              </w:rPr>
              <w:t>、触点测试纤维棒</w:t>
            </w:r>
            <w:r>
              <w:rPr>
                <w:rStyle w:val="11"/>
                <w:rFonts w:hint="default"/>
                <w:lang w:bidi="ar"/>
              </w:rPr>
              <w:t xml:space="preserve"> </w:t>
            </w:r>
            <w:r>
              <w:rPr>
                <w:rStyle w:val="10"/>
                <w:rFonts w:hint="default"/>
                <w:lang w:bidi="ar"/>
              </w:rPr>
              <w:t xml:space="preserve">：   1、产品材质为耐磨塑料2、触点之间的距离可以调整，测量神经分布密度的触点之间距离为1-25mm， 2、测试结果是精确的，此结论是在美国手外科学会研讨下得出的。                                                                                                            </w:t>
            </w:r>
            <w:r>
              <w:rPr>
                <w:rFonts w:hint="eastAsia"/>
              </w:rPr>
              <w:t xml:space="preserve">七、有机量角器 </w:t>
            </w:r>
            <w:r>
              <w:rPr>
                <w:rStyle w:val="10"/>
                <w:rFonts w:hint="default"/>
                <w:lang w:bidi="ar"/>
              </w:rPr>
              <w:t xml:space="preserve"> ： 1、产品材质为透明塑胶。2、测量角度范围为0°到180°，角度增量幅度为5° 。3、有刻度部分的尺子长度为11cm.伸直后总长为32厘米                                                                                                                                                                    </w:t>
            </w:r>
            <w:r>
              <w:rPr>
                <w:rFonts w:hint="eastAsia"/>
              </w:rPr>
              <w:t xml:space="preserve">八、单平面量角器 ： </w:t>
            </w:r>
            <w:r>
              <w:rPr>
                <w:rStyle w:val="10"/>
                <w:rFonts w:hint="default"/>
                <w:lang w:bidi="ar"/>
              </w:rPr>
              <w:t xml:space="preserve">1、产品材质为不锈钢。2、测量范围为：0—150°或30°到180°，角度增量为5°，其计量单位为:公分或英寸。3、整个产品的测量长度是14厘米长。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14</w:t>
            </w:r>
          </w:p>
        </w:tc>
        <w:tc>
          <w:tcPr>
            <w:tcW w:w="1268" w:type="dxa"/>
          </w:tcPr>
          <w:p>
            <w:pPr>
              <w:jc w:val="center"/>
              <w:rPr>
                <w:b/>
                <w:bCs/>
              </w:rPr>
            </w:pPr>
            <w:r>
              <w:rPr>
                <w:rFonts w:hint="eastAsia"/>
              </w:rPr>
              <w:t>平衡测试训练仪</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1.本产品主要由软件、传感器及训练架组成；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*2.本产品具备蓝牙连接功能；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软件可对患者的平衡能力进行评估，并根据评估结果推荐适宜的平衡训练角度，制定合适的训练计划；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3.软件中有多种游戏类型可选，每种游戏类型可根据患者的平衡能力选择适当的难度；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4.本产品配备55寸一体机；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*5.训练架采用双轴设计，符合人体工程学设计，安全稳定；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*6.训练架在竖直方向摆动角度分为3档可调，分别是0°、6°、11°，实现静态与动态平衡训练；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*7.训练架的摆动阻力分5档可调，实现动态平衡进阶训练，满足不同阶段的患者的治疗需求；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8.训练架垂直方向高度可调，调节范围为0~33cm，误差为±10%；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9.训练架的高度调节方式为气弹簧调节；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10.训练架的承载能力：脚踏板最大承重为2000N；腰部固定带的最大承重为1000 N； </w:t>
            </w:r>
          </w:p>
          <w:p>
            <w:pPr>
              <w:jc w:val="center"/>
              <w:rPr>
                <w:rFonts w:ascii="宋体" w:hAnsi="宋体"/>
                <w:szCs w:val="21"/>
              </w:rPr>
            </w:pPr>
            <w:r>
              <w:rPr>
                <w:rFonts w:hint="eastAsia" w:ascii="微软雅黑" w:hAnsi="微软雅黑" w:eastAsia="微软雅黑" w:cs="微软雅黑"/>
                <w:color w:val="000000"/>
                <w:kern w:val="0"/>
                <w:sz w:val="18"/>
                <w:szCs w:val="18"/>
                <w:lang w:bidi="ar"/>
              </w:rPr>
              <w:t>11.训练架的脚部固定装置使用弹簧开关设计，一踢一踩即可开关该装置。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15</w:t>
            </w:r>
          </w:p>
        </w:tc>
        <w:tc>
          <w:tcPr>
            <w:tcW w:w="1268" w:type="dxa"/>
          </w:tcPr>
          <w:p>
            <w:pPr>
              <w:jc w:val="center"/>
            </w:pPr>
            <w:r>
              <w:rPr>
                <w:rFonts w:hint="eastAsia"/>
              </w:rPr>
              <w:t>电子测角器</w:t>
            </w:r>
          </w:p>
        </w:tc>
        <w:tc>
          <w:tcPr>
            <w:tcW w:w="1001" w:type="dxa"/>
          </w:tcPr>
          <w:p>
            <w:pPr>
              <w:jc w:val="center"/>
              <w:rPr>
                <w:b/>
                <w:bCs/>
              </w:rPr>
            </w:pPr>
            <w:r>
              <w:rPr>
                <w:rFonts w:hint="eastAsia"/>
                <w:b/>
                <w:bCs/>
              </w:rPr>
              <w:t>4</w:t>
            </w:r>
          </w:p>
        </w:tc>
        <w:tc>
          <w:tcPr>
            <w:tcW w:w="5113" w:type="dxa"/>
          </w:tcPr>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用于测量关节角度使用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16</w:t>
            </w:r>
          </w:p>
        </w:tc>
        <w:tc>
          <w:tcPr>
            <w:tcW w:w="1268" w:type="dxa"/>
          </w:tcPr>
          <w:p>
            <w:pPr>
              <w:jc w:val="center"/>
            </w:pPr>
            <w:r>
              <w:rPr>
                <w:rFonts w:hint="eastAsia"/>
              </w:rPr>
              <w:t>言语评估训练系统</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产品组成：由硬件和专用软件组成。硬件包括：电脑主机、显示器、隔离变压器、打印机、键盘、鼠标、加密狗、麦克风、音箱、工作台和通讯电缆线等。专用软件包括四大功能模块：系统简介、资料管理、评估筛查和康复训练；</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2.仪器以开放式接口计算机、音频输入/输出、打印机为硬件基础，预装正版言语障碍诊治软件系统，配有便携式密码狗。</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3.系统简介功能：详尽解释整个系统的按键功能和操作说明；</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4.资料管理功能：具有登记，查询，修改患者基本情况信息、病例资料等功能；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5.评估筛查功能：包括了听检查、视检查、语音检查和口语表达检查四部分。</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6.康复训练功能：包括评估结果、康复内容、康复建议三部分。</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7.评估结果：查看当前患者当次评估测试结果。</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8.康复内容：包括听训练、视训练、语音训练、发音器官训练、口语表达训练和学老师平台等6部分。</w:t>
            </w:r>
          </w:p>
          <w:p>
            <w:pPr>
              <w:jc w:val="center"/>
              <w:rPr>
                <w:rFonts w:ascii="宋体" w:hAnsi="宋体"/>
                <w:szCs w:val="21"/>
              </w:rPr>
            </w:pPr>
            <w:r>
              <w:rPr>
                <w:rFonts w:hint="eastAsia" w:ascii="微软雅黑" w:hAnsi="微软雅黑" w:eastAsia="微软雅黑" w:cs="微软雅黑"/>
                <w:color w:val="000000"/>
                <w:kern w:val="0"/>
                <w:sz w:val="18"/>
                <w:szCs w:val="18"/>
                <w:lang w:bidi="ar"/>
              </w:rPr>
              <w:t>9.康复建议：针对失语、智能障碍、构音障碍三大类语言障碍疾病提供康复训练建议，可选择相应的康复建议进行康复训练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17</w:t>
            </w:r>
          </w:p>
        </w:tc>
        <w:tc>
          <w:tcPr>
            <w:tcW w:w="1268" w:type="dxa"/>
          </w:tcPr>
          <w:p>
            <w:pPr>
              <w:jc w:val="center"/>
            </w:pPr>
            <w:r>
              <w:rPr>
                <w:rFonts w:hint="eastAsia"/>
              </w:rPr>
              <w:t>评估量表</w:t>
            </w:r>
          </w:p>
        </w:tc>
        <w:tc>
          <w:tcPr>
            <w:tcW w:w="1001" w:type="dxa"/>
          </w:tcPr>
          <w:p>
            <w:pPr>
              <w:jc w:val="center"/>
              <w:rPr>
                <w:b/>
                <w:bCs/>
              </w:rPr>
            </w:pPr>
            <w:r>
              <w:rPr>
                <w:rFonts w:hint="eastAsia"/>
                <w:b/>
                <w:bCs/>
              </w:rPr>
              <w:t>4</w:t>
            </w:r>
          </w:p>
        </w:tc>
        <w:tc>
          <w:tcPr>
            <w:tcW w:w="5113" w:type="dxa"/>
          </w:tcPr>
          <w:p>
            <w:pPr>
              <w:jc w:val="left"/>
              <w:rPr>
                <w:rFonts w:ascii="宋体" w:hAnsi="宋体"/>
                <w:szCs w:val="21"/>
              </w:rPr>
            </w:pPr>
            <w:r>
              <w:rPr>
                <w:rFonts w:hint="eastAsia" w:ascii="微软雅黑" w:hAnsi="微软雅黑" w:eastAsia="微软雅黑" w:cs="微软雅黑"/>
                <w:color w:val="000000"/>
                <w:kern w:val="0"/>
                <w:sz w:val="18"/>
                <w:szCs w:val="18"/>
                <w:lang w:bidi="ar"/>
              </w:rPr>
              <w:t>用于患者量表评估使用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18</w:t>
            </w:r>
          </w:p>
        </w:tc>
        <w:tc>
          <w:tcPr>
            <w:tcW w:w="1268" w:type="dxa"/>
          </w:tcPr>
          <w:p>
            <w:pPr>
              <w:jc w:val="center"/>
            </w:pPr>
            <w:r>
              <w:rPr>
                <w:rFonts w:hint="eastAsia" w:ascii="宋体" w:hAnsi="宋体"/>
                <w:szCs w:val="21"/>
              </w:rPr>
              <w:t>感觉评定设备</w:t>
            </w:r>
          </w:p>
        </w:tc>
        <w:tc>
          <w:tcPr>
            <w:tcW w:w="1001" w:type="dxa"/>
          </w:tcPr>
          <w:p>
            <w:pPr>
              <w:jc w:val="center"/>
              <w:rPr>
                <w:b/>
                <w:bCs/>
              </w:rPr>
            </w:pPr>
            <w:r>
              <w:rPr>
                <w:rFonts w:hint="eastAsia"/>
                <w:b/>
                <w:bCs/>
              </w:rPr>
              <w:t>6</w:t>
            </w:r>
          </w:p>
        </w:tc>
        <w:tc>
          <w:tcPr>
            <w:tcW w:w="5113" w:type="dxa"/>
          </w:tcPr>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用于感觉评定使用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19</w:t>
            </w:r>
          </w:p>
        </w:tc>
        <w:tc>
          <w:tcPr>
            <w:tcW w:w="1268" w:type="dxa"/>
          </w:tcPr>
          <w:p>
            <w:pPr>
              <w:jc w:val="center"/>
              <w:rPr>
                <w:rFonts w:ascii="宋体" w:hAnsi="宋体"/>
                <w:szCs w:val="21"/>
              </w:rPr>
            </w:pPr>
            <w:r>
              <w:rPr>
                <w:rFonts w:ascii="宋体" w:hAnsi="宋体"/>
                <w:szCs w:val="21"/>
              </w:rPr>
              <w:t>叩诊锤</w:t>
            </w:r>
          </w:p>
        </w:tc>
        <w:tc>
          <w:tcPr>
            <w:tcW w:w="1001" w:type="dxa"/>
          </w:tcPr>
          <w:p>
            <w:pPr>
              <w:jc w:val="center"/>
              <w:rPr>
                <w:b/>
                <w:bCs/>
              </w:rPr>
            </w:pPr>
            <w:r>
              <w:rPr>
                <w:rFonts w:hint="eastAsia"/>
                <w:b/>
                <w:bCs/>
              </w:rPr>
              <w:t>6</w:t>
            </w:r>
          </w:p>
        </w:tc>
        <w:tc>
          <w:tcPr>
            <w:tcW w:w="5113" w:type="dxa"/>
          </w:tcPr>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辅助医生诊断使用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20</w:t>
            </w:r>
          </w:p>
        </w:tc>
        <w:tc>
          <w:tcPr>
            <w:tcW w:w="1268" w:type="dxa"/>
          </w:tcPr>
          <w:p>
            <w:pPr>
              <w:jc w:val="center"/>
            </w:pPr>
            <w:r>
              <w:rPr>
                <w:rFonts w:hint="eastAsia"/>
                <w:szCs w:val="21"/>
              </w:rPr>
              <w:t>电动起立床</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1.床面尺寸（长×宽） 1800×660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2.床面最低高度 510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3.桌板尺寸（长×宽×总宽） 760×270×470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4.外形尺寸（长×宽×高） 1900×750×790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5.脚板 460×300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6.带宽 100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7.安全工作载荷： ≤170kg。</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8.床面可调节角度范围 0～85°</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9.电动直立床配置：</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由脚踏板、绑带、扶手板、床面、床升降架、床架、控制器、升降脚轮。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21</w:t>
            </w:r>
          </w:p>
        </w:tc>
        <w:tc>
          <w:tcPr>
            <w:tcW w:w="1268" w:type="dxa"/>
          </w:tcPr>
          <w:p>
            <w:pPr>
              <w:jc w:val="center"/>
              <w:rPr>
                <w:szCs w:val="21"/>
              </w:rPr>
            </w:pPr>
            <w:r>
              <w:rPr>
                <w:rFonts w:ascii="宋体" w:hAnsi="宋体"/>
                <w:szCs w:val="21"/>
              </w:rPr>
              <w:t>站立架</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140×140×105cm,肘部垫宽度40cm，肘部垫额定承载质量80kg，臀部垫和绑带最大负载质量135kg。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22</w:t>
            </w:r>
          </w:p>
        </w:tc>
        <w:tc>
          <w:tcPr>
            <w:tcW w:w="1268" w:type="dxa"/>
          </w:tcPr>
          <w:p>
            <w:pPr>
              <w:jc w:val="center"/>
              <w:rPr>
                <w:szCs w:val="21"/>
              </w:rPr>
            </w:pPr>
            <w:r>
              <w:rPr>
                <w:rFonts w:hint="eastAsia"/>
                <w:szCs w:val="21"/>
              </w:rPr>
              <w:t>手支撑器</w:t>
            </w:r>
          </w:p>
        </w:tc>
        <w:tc>
          <w:tcPr>
            <w:tcW w:w="1001" w:type="dxa"/>
          </w:tcPr>
          <w:p>
            <w:pPr>
              <w:jc w:val="center"/>
              <w:rPr>
                <w:b/>
                <w:bCs/>
              </w:rPr>
            </w:pPr>
            <w:r>
              <w:rPr>
                <w:rFonts w:hint="eastAsia"/>
                <w:b/>
                <w:bCs/>
              </w:rPr>
              <w:t>3</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用于手关节支撑训练使用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23</w:t>
            </w:r>
          </w:p>
        </w:tc>
        <w:tc>
          <w:tcPr>
            <w:tcW w:w="1268" w:type="dxa"/>
          </w:tcPr>
          <w:p>
            <w:pPr>
              <w:jc w:val="center"/>
            </w:pPr>
            <w:r>
              <w:rPr>
                <w:rFonts w:hint="eastAsia"/>
              </w:rPr>
              <w:t>训练用阶梯</w:t>
            </w:r>
          </w:p>
        </w:tc>
        <w:tc>
          <w:tcPr>
            <w:tcW w:w="1001" w:type="dxa"/>
          </w:tcPr>
          <w:p>
            <w:pPr>
              <w:jc w:val="center"/>
              <w:rPr>
                <w:b/>
                <w:bCs/>
              </w:rPr>
            </w:pPr>
            <w:r>
              <w:rPr>
                <w:rFonts w:hint="eastAsia"/>
                <w:b/>
                <w:bCs/>
              </w:rPr>
              <w:t>1</w:t>
            </w:r>
          </w:p>
        </w:tc>
        <w:tc>
          <w:tcPr>
            <w:tcW w:w="5113" w:type="dxa"/>
          </w:tcPr>
          <w:p>
            <w:pPr>
              <w:widowControl/>
              <w:jc w:val="left"/>
              <w:textAlignment w:val="center"/>
              <w:rPr>
                <w:rFonts w:ascii="宋体" w:hAnsi="宋体"/>
                <w:szCs w:val="21"/>
              </w:rPr>
            </w:pPr>
            <w:r>
              <w:rPr>
                <w:rFonts w:hint="eastAsia" w:ascii="微软雅黑" w:hAnsi="微软雅黑" w:eastAsia="微软雅黑" w:cs="微软雅黑"/>
                <w:color w:val="000000"/>
                <w:kern w:val="0"/>
                <w:sz w:val="18"/>
                <w:szCs w:val="18"/>
                <w:lang w:bidi="ar"/>
              </w:rPr>
              <w:t>335×83×134～160cm，相邻台阶距离10cm，12cm，扶手杠调节范围0～34cm。扶手杠侧向额定载荷70kg，阶梯额定载荷135kg。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24</w:t>
            </w:r>
          </w:p>
        </w:tc>
        <w:tc>
          <w:tcPr>
            <w:tcW w:w="1268" w:type="dxa"/>
          </w:tcPr>
          <w:p>
            <w:pPr>
              <w:jc w:val="center"/>
            </w:pPr>
            <w:r>
              <w:rPr>
                <w:rFonts w:hint="eastAsia"/>
                <w:szCs w:val="21"/>
              </w:rPr>
              <w:t>上下肢主被动康复训练系统</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1.用于中风、偏瘫等肢体障碍患者进行肌力和关节活动度的康复训练；</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2.设备应具有主动训练、被动训练、主被动训练、助力训练模式；</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3.阻力：在主动训练时上下肢阻力设定范围0-20Nm，分20档设定，档位间距1Nm；</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4.转数：在被动训练时，上下肢转数0-60rpm，步距1rpm;</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5.电机动力等级：分高、中、低三级；</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6.定时时间：设定范围0min-120min，步进可调，步距1min，到达设置时间后自动切断输出；</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*7.水平训练模式：上肢训练盘旋转面调整角度90°后可做水平训练；</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*8.高度调节：康复机高度可调节范围不小于10cm；</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9.彩色液晶触摸屏显示，便于肌力弱患者操作；</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10.左下肢和右下肢，左上肢和右上肢可进行对称训练；</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11.能够智能探测痉挛并自动缓解痉挛；</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12.通过方向键可改变运动方向；</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13.主被动训练模式可自由转换或可手动选择</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14.具有训练时间、训练速度及运动阻力的设置功能；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15.具有显示高肌张力功能；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16.具有语音提示功能；即时中文语言提示。</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17.具有显示运动里程、运动时间、各种动力供给及速率大小的功能；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*18.具有上肢垂直圆周运动和水平圆周运动变换功能；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19.具有异常声音控制和按键控制的急停功能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20.具有利用智能卡或U盘进行训练方案、病历档案管理及联机打印训练分析结果功能</w:t>
            </w:r>
          </w:p>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25</w:t>
            </w:r>
          </w:p>
        </w:tc>
        <w:tc>
          <w:tcPr>
            <w:tcW w:w="1268" w:type="dxa"/>
          </w:tcPr>
          <w:p>
            <w:pPr>
              <w:jc w:val="center"/>
            </w:pPr>
            <w:r>
              <w:rPr>
                <w:rFonts w:hint="eastAsia"/>
                <w:szCs w:val="21"/>
              </w:rPr>
              <w:t>手杖、拐杖助行器、轮椅</w:t>
            </w:r>
          </w:p>
        </w:tc>
        <w:tc>
          <w:tcPr>
            <w:tcW w:w="1001" w:type="dxa"/>
          </w:tcPr>
          <w:p>
            <w:pPr>
              <w:jc w:val="center"/>
              <w:rPr>
                <w:b/>
                <w:bCs/>
              </w:rPr>
            </w:pPr>
            <w:r>
              <w:rPr>
                <w:rFonts w:hint="eastAsia"/>
                <w:b/>
                <w:bCs/>
              </w:rPr>
              <w:t>2</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辅助代步功能 </w:t>
            </w:r>
          </w:p>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26</w:t>
            </w:r>
          </w:p>
        </w:tc>
        <w:tc>
          <w:tcPr>
            <w:tcW w:w="1268" w:type="dxa"/>
          </w:tcPr>
          <w:p>
            <w:pPr>
              <w:jc w:val="center"/>
              <w:rPr>
                <w:szCs w:val="21"/>
              </w:rPr>
            </w:pPr>
            <w:r>
              <w:rPr>
                <w:rFonts w:hint="eastAsia"/>
                <w:szCs w:val="21"/>
              </w:rPr>
              <w:t>股四头肌训练椅</w:t>
            </w:r>
          </w:p>
        </w:tc>
        <w:tc>
          <w:tcPr>
            <w:tcW w:w="1001" w:type="dxa"/>
          </w:tcPr>
          <w:p>
            <w:pPr>
              <w:jc w:val="center"/>
              <w:rPr>
                <w:b/>
                <w:bCs/>
              </w:rPr>
            </w:pPr>
            <w:r>
              <w:rPr>
                <w:rFonts w:hint="eastAsia"/>
                <w:b/>
                <w:bCs/>
              </w:rPr>
              <w:t>1</w:t>
            </w:r>
          </w:p>
        </w:tc>
        <w:tc>
          <w:tcPr>
            <w:tcW w:w="5113" w:type="dxa"/>
          </w:tcPr>
          <w:p>
            <w:pPr>
              <w:widowControl/>
              <w:jc w:val="left"/>
              <w:textAlignment w:val="center"/>
              <w:rPr>
                <w:rFonts w:ascii="宋体" w:hAnsi="宋体"/>
                <w:szCs w:val="21"/>
              </w:rPr>
            </w:pPr>
            <w:r>
              <w:rPr>
                <w:rFonts w:hint="eastAsia" w:ascii="微软雅黑" w:hAnsi="微软雅黑" w:eastAsia="微软雅黑" w:cs="微软雅黑"/>
                <w:color w:val="000000"/>
                <w:kern w:val="0"/>
                <w:sz w:val="18"/>
                <w:szCs w:val="18"/>
                <w:lang w:bidi="ar"/>
              </w:rPr>
              <w:t>101×113×118cm,座位高65cm,座面高度67cm，扶手宽度81cm,伸缩杆调节范围0～15cm，小腿垫调节范围0～47cm，助力手柄调节范围0～28cm，座位额定负载质量135kg, 靠背额定负载质量70kg，靠背平放时额定负载质70kg，配重块每块1.5kg（每侧2块共4块）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27</w:t>
            </w:r>
          </w:p>
        </w:tc>
        <w:tc>
          <w:tcPr>
            <w:tcW w:w="1268" w:type="dxa"/>
          </w:tcPr>
          <w:p>
            <w:pPr>
              <w:jc w:val="center"/>
              <w:rPr>
                <w:szCs w:val="21"/>
              </w:rPr>
            </w:pPr>
            <w:r>
              <w:rPr>
                <w:rFonts w:hint="eastAsia"/>
                <w:szCs w:val="21"/>
              </w:rPr>
              <w:t>四肢联动训练仪</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1、★具有中华人民共和国有效的医疗器械注册证。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2、适应范围：适用于肢体肌力下降的患者进行康复训练。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3、★结构组成：由底座、座椅、把手、脚踏板、背部支撑及绑带、腿部支撑及绑带、手部和脚部固定装置、联动连杆装置、电源、显示器组成。</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4、功能描述：</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4.1 具有避免膝过伸或髋外旋的髋膝腿部支撑装置；</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4.2 手部固定装置握套可帮助上肢零肌力患者运动时抓握伸缩曲张；</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4.3 上肢运动杆长度可以调节，满足患者上肢不同关节活动范围屈伸训练；</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4.4 旋转的座椅、安全舒适扶手可帮助患者维持躯干平衡且可折叠，方便患者从不同角度上下；</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4.5 通过一肢带动三肢、健侧带动患侧，健侧肢体做主动运动，患侧肢体做被动运动；</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4.6 患者用健侧肢体带动运动，安全的主动运动，不会引起痉挛，并可加快本体感觉的恢复；4.7 模拟日常生活中正常人肢体运动，上肢伸缩曲张和下肢蹬踏前倾的运动模式；</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4.8 上下肢一起联动，可增强腰背的肌力，增加躯干的稳定性、协调性和平衡的控制能力；4.9 过自主控制运动训练，为患者提供了早期的有氧训练。</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5、性能参数：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5.1 显示装置：多组屏幕LCD数码显示，超大薄膜开关操作简单便捷；</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5.2 最大承重：200kg；</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5.3 支臂调节范围0cm～35cm，允差±5％；5.4 把手具有一键锁定功能，使用按压快拉式结构调节；</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5.5 把手角度旋转可调选配；</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5.6 座椅可调节距离30cm，误差±2cm；座椅后背倾斜可调角度8度；</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5.7★ 座椅可左右360±10°旋转、90°锁定，允差±2°，方便患者多角度上下；</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5.8 座椅两侧均有舒适的扶手；且扶手可折叠，方便病人转移；</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5.9 标配安全背部支撑及绑带，从多个部位固定患者躯干，可有效固定不同偏瘫侧的患者，为躯干稳定性不够的患者提供安全保护，防止患者滑落；</w:t>
            </w:r>
          </w:p>
          <w:p>
            <w:pPr>
              <w:widowControl/>
              <w:jc w:val="left"/>
              <w:textAlignment w:val="center"/>
              <w:rPr>
                <w:rFonts w:ascii="宋体" w:hAnsi="宋体"/>
                <w:szCs w:val="21"/>
              </w:rPr>
            </w:pPr>
            <w:r>
              <w:rPr>
                <w:rFonts w:hint="eastAsia" w:ascii="微软雅黑" w:hAnsi="微软雅黑" w:eastAsia="微软雅黑" w:cs="微软雅黑"/>
                <w:color w:val="000000"/>
                <w:kern w:val="0"/>
                <w:sz w:val="18"/>
                <w:szCs w:val="18"/>
                <w:lang w:bidi="ar"/>
              </w:rPr>
              <w:t>5.10 标配手部固定装置护套，为上肢肌力小和上肢关节稳定性差的患者提供固定和保护，保证患者训练过程的连续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28</w:t>
            </w:r>
          </w:p>
        </w:tc>
        <w:tc>
          <w:tcPr>
            <w:tcW w:w="1268" w:type="dxa"/>
          </w:tcPr>
          <w:p>
            <w:pPr>
              <w:jc w:val="center"/>
              <w:rPr>
                <w:szCs w:val="21"/>
              </w:rPr>
            </w:pPr>
            <w:r>
              <w:rPr>
                <w:rFonts w:hint="eastAsia"/>
                <w:szCs w:val="21"/>
              </w:rPr>
              <w:t>电动牵引床</w:t>
            </w:r>
          </w:p>
        </w:tc>
        <w:tc>
          <w:tcPr>
            <w:tcW w:w="1001" w:type="dxa"/>
          </w:tcPr>
          <w:p>
            <w:pPr>
              <w:jc w:val="center"/>
              <w:rPr>
                <w:b/>
                <w:bCs/>
              </w:rPr>
            </w:pPr>
            <w:r>
              <w:rPr>
                <w:rFonts w:hint="eastAsia"/>
                <w:b/>
                <w:bCs/>
              </w:rPr>
              <w:t>1</w:t>
            </w:r>
          </w:p>
        </w:tc>
        <w:tc>
          <w:tcPr>
            <w:tcW w:w="5113" w:type="dxa"/>
          </w:tcPr>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一、技术参数：</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1、腰椎最大牵引行程：200mm±5mm</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2、腰椎牵引力：（0～990N）±5%</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3、颈椎最大牵引行程：300mm±5mm</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4、颈椎牵引力：（0～300N）±5%</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5、牵引总时间：(0～99min)±30s可调6、牵引时间：(0～9min)±5%可调</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7、间歇时间：(0～90S)±5%可调</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8、牵引速度：8mm/s±2 mm/s</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9、产品尺寸（长×宽×高）：2480×600×730㎜</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二、技术特点</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★1、颈腰椎一体化牵引，可针对两个患者分别或同时进行颈椎或腰椎牵引。</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2、牵引力实时监测检测，自动修正与预置值偏差。</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★3、8种不同的牵引模式，20种治疗参数（病例）存储、读取功能。</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4、简单的牵引参数键入法。</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5、设有紧急保护措施（患者应急开关、医务人员操作急退键）。</w:t>
            </w:r>
          </w:p>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6、率先采用间歇时间以秒为单位，更加实用。</w:t>
            </w:r>
          </w:p>
          <w:p>
            <w:pPr>
              <w:jc w:val="left"/>
              <w:rPr>
                <w:rFonts w:ascii="宋体" w:hAnsi="宋体"/>
                <w:szCs w:val="21"/>
              </w:rPr>
            </w:pPr>
            <w:r>
              <w:rPr>
                <w:rFonts w:hint="eastAsia" w:ascii="微软雅黑" w:hAnsi="微软雅黑" w:eastAsia="微软雅黑" w:cs="微软雅黑"/>
                <w:color w:val="000000"/>
                <w:kern w:val="0"/>
                <w:sz w:val="18"/>
                <w:szCs w:val="18"/>
                <w:lang w:bidi="ar"/>
              </w:rPr>
              <w:t>7、数码管显示牵引力、牵引总时间、牵引时间等治疗参数。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29</w:t>
            </w:r>
          </w:p>
        </w:tc>
        <w:tc>
          <w:tcPr>
            <w:tcW w:w="1268" w:type="dxa"/>
          </w:tcPr>
          <w:p>
            <w:pPr>
              <w:jc w:val="center"/>
              <w:rPr>
                <w:szCs w:val="21"/>
              </w:rPr>
            </w:pPr>
            <w:r>
              <w:rPr>
                <w:rFonts w:hint="eastAsia"/>
                <w:szCs w:val="21"/>
              </w:rPr>
              <w:t>全自动蜡疗仪</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*1.全自动：多功能自动开关机、熔蜡、过滤、一键放蜡和制饼，无需人工看守或接舀蜡；</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2.显示：高清液晶触摸屏，人机界面操作简捷，仪器工作状态全程实时显示；</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3.容积：熔蜡箱80升、恒温箱190升；</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4.温控范围：熔蜡箱60℃～95℃、温控精度：±0.1℃（PID控制系统）；</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5.工作模式：全自动模式一和全自动模式二，超强实用更大化满足临床需求；</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6.制饼模式：多种模式可选，立即制饼、预约制饼、恒温制饼等；</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7.智能控制：24H智能循环控制，时间、温度等参数设置一次完成，记忆保存，无需重复设置；</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8.自动智能：蜡饼厚度精准控制、制饼时间动态调整、管道智能防堵设计、自动语音播报功能；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9.假期设置：可设置假期功能，可在假期结束时提前开始启动工作制饼；</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10.消毒方式：高温及紫外线消毒结合有效对重复使用石蜡内外部消毒；</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*11.智能一键：一键假期设置、工作模式、出厂设置恢复、消毒功能；一键制饼数量和厚度选择、一键预约制饼、立即制饼，一键急融急冷、一键恒温、一键开门及一键照明等人性化设计；</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12.急融急冷：为临床特别设计，将用过冷却的蜡块放入箱托盘内，可直接急熔化后自动冷却制饼；</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13.放蜡管路：一盘对应一个独立出蜡管路系统，出蜡量可一键设置，且实时监控管道温度防堵塞；</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*14.蜡饼数量：16盘，四区单独控制，智能一键任意选择1-4盘、5-8盘、9-12盘、13-16盘或全选；</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15.蜡饼厚度：10mm、13mm、16mm、19mm、22mm智能一键选择，一次制饼可同时出4种不同厚度；确保临床需求和治疗效果；</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17.蜡饼质量：特殊风道双循环系统设计，温差不超过±0.8℃，内部无夹心无蜡液包裹；</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18.安全保护：：三盏指示灯对应融蜡箱，制饼箱，电源，实时监控机器运行状态；</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19.化蜡技术：无水化蜡或有水化蜡选择；</w:t>
            </w:r>
          </w:p>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30</w:t>
            </w:r>
          </w:p>
        </w:tc>
        <w:tc>
          <w:tcPr>
            <w:tcW w:w="1268" w:type="dxa"/>
          </w:tcPr>
          <w:p>
            <w:pPr>
              <w:jc w:val="center"/>
              <w:rPr>
                <w:szCs w:val="21"/>
              </w:rPr>
            </w:pPr>
            <w:r>
              <w:rPr>
                <w:rFonts w:hint="eastAsia"/>
                <w:szCs w:val="21"/>
              </w:rPr>
              <w:t>紫外线治疗仪</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*1.紫外线辐射波长：辐射波峰值波长为253.7nm，误差为±0.3nm，此波段具有最佳的杀菌、消炎效果；</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*2.紫外线辐射强度：体表照射器距离照射面距离≤1cm时，开机辐射强度≥17.1mw/cm2 直光导距离照射面距离≤1mm时紫外线辐射强度≥15mw/cm2弯光导距离照射面距离≤1mm时，紫外线辐射强度≥4mw/cm2；鼻光导距离照射面距离≤1mm时，紫外线辐射强度≥4mw/cm2；连续使用1000小时后，各类型照射器紫外线辐照强度维持率≥95%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3.紫外线有效受照区：照射器对照射面进行垂直照射时，体表照射器距离照射面1cm距离时，受照面积≥2400mm2；</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体腔照射器直光导距离照射面1mm距离时，受照面积≥177mm2；体腔照射器弯光导距离照射面1mm距离时，受照面积≥180mm2；体腔照射器鼻光导距离照射面1mm距离时，受照面积≥24mm2；</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4.治疗时间：0s～100s可调，步长1s，误差为±2%。预置为10s；</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5.语音提示功能：治疗结束时有音响提示；</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*6.治疗时间过量报警功能：当用户设置治疗时间过量时（体腔照射超过20S或体表照射超过60S），主机有音响提示报警；且在治疗结束时有音响提示。</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7.一键飞梭操控，高档显示面板，提示醒目准确；</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8.治疗状态下，体腔手柄（通风口处）的温度达35℃±5℃时，自动通风散热；</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9.冷热阴极增强型照射器：低压、低臭氧、具有高效、节能、安全特点；智能温度控制，光源输出强度比环保型照射器更大、稳定性更好；安全性大大提高，不用担心光源衰减产生的安全性问题。</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*10.具有专门用于口腔、肛周部位、深度创面治疗的照射光导装置，并且具有专利证书；</w:t>
            </w:r>
          </w:p>
          <w:p>
            <w:pPr>
              <w:jc w:val="center"/>
              <w:rPr>
                <w:rFonts w:ascii="宋体" w:hAnsi="宋体"/>
                <w:szCs w:val="21"/>
              </w:rPr>
            </w:pPr>
            <w:r>
              <w:rPr>
                <w:rFonts w:hint="eastAsia" w:ascii="微软雅黑" w:hAnsi="微软雅黑" w:eastAsia="微软雅黑" w:cs="微软雅黑"/>
                <w:color w:val="000000"/>
                <w:kern w:val="0"/>
                <w:sz w:val="18"/>
                <w:szCs w:val="18"/>
                <w:lang w:bidi="ar"/>
              </w:rPr>
              <w:t>*11.紫外线输出光源纯度：253.7nm的紫外线辐照强度&gt;90%；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31</w:t>
            </w:r>
          </w:p>
        </w:tc>
        <w:tc>
          <w:tcPr>
            <w:tcW w:w="1268" w:type="dxa"/>
          </w:tcPr>
          <w:p>
            <w:pPr>
              <w:jc w:val="center"/>
              <w:rPr>
                <w:szCs w:val="21"/>
              </w:rPr>
            </w:pPr>
            <w:r>
              <w:rPr>
                <w:rFonts w:hint="eastAsia"/>
                <w:szCs w:val="21"/>
              </w:rPr>
              <w:t>超声波治疗仪</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1.★便携式机型，7英寸彩色液晶显示加一键飞梭操作。（可提供相关证书）</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2.★仪器配有 1MHz和3MHz治疗探头，结构简单，操作便捷；（可提供相关证明文件）</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3.仪器探头尺寸分别为移动式7cm2,固定式15cm2，两治疗探头独立控制，可同时使用，互不干扰。</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4.输入功率：80VA。</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5.额定输出功率：5W±20%；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6.绝对最大有效声强： ≤3.0W/ cm²</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7.波束类型：准直型。</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8.波束不均匀系数：≤8.0。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9.十种占空比：0～90%可调，步进为10%。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10治疗时间：≤30分钟。</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11、输出模式：9档脉冲模式和1档连续模式。</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12、电源参数: 电源电压：交流电压 220V；电源频率：50Hz±2%；</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13.治疗头有效辐射面积：3MHz治疗头为2.0cm²，1MHz治疗头为2.5cm²；</w:t>
            </w:r>
          </w:p>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0" w:hRule="atLeast"/>
          <w:jc w:val="center"/>
        </w:trPr>
        <w:tc>
          <w:tcPr>
            <w:tcW w:w="818" w:type="dxa"/>
          </w:tcPr>
          <w:p>
            <w:pPr>
              <w:jc w:val="center"/>
              <w:rPr>
                <w:b/>
                <w:bCs/>
              </w:rPr>
            </w:pPr>
            <w:r>
              <w:rPr>
                <w:rFonts w:hint="eastAsia"/>
                <w:b/>
                <w:bCs/>
              </w:rPr>
              <w:t>32</w:t>
            </w:r>
          </w:p>
        </w:tc>
        <w:tc>
          <w:tcPr>
            <w:tcW w:w="1268" w:type="dxa"/>
          </w:tcPr>
          <w:p>
            <w:pPr>
              <w:jc w:val="center"/>
              <w:rPr>
                <w:szCs w:val="21"/>
              </w:rPr>
            </w:pPr>
            <w:r>
              <w:rPr>
                <w:rFonts w:hint="eastAsia"/>
                <w:szCs w:val="21"/>
              </w:rPr>
              <w:t>磁振热治疗仪</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1.设备用途</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设备适用于消炎消肿、促进血液循环、促进骨愈合、改善关节退行性病变</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2.主要功能</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采用高场强磁场治疗，能够促进局部组织血液循环、加强新陈代谢，起到消炎、消肿的作用</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主要技术参数</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*3.1 高场强磁场、振动、温热三种物理因子相结合进行同步治疗；</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*3.2磁垫：输出强度最低10mT，最高可达到350mT，调节步长：10-100mT调节步长为10mT，100-350mT调节步长为50mT</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3.3 脉冲频率：10～100（调节步长10次/分）、120次/分、300次/分、600次/分、1500次/分、3000次/分</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*3.4 设备自带处方的数量：≥10个</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3.5 治疗时间：1～99分钟可调</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3.6 治疗仪的输出温度：≤55℃，智能温控自动调整，达到最适温度状态</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3.7 显示模式：液晶显示，每个液晶显示屏均可显示强度、频率、时间、处方</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3.8 振动强度可调：可选择设置磁垫的振动强度为弱、强、无</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*3.9 单、双极性磁场输出：治疗仪可输出单极性（磁场N、S极固定）和双极性（磁场N、S极可互换）的磁场</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3.10输出通道：2通道</w:t>
            </w:r>
          </w:p>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18" w:type="dxa"/>
          </w:tcPr>
          <w:p>
            <w:pPr>
              <w:jc w:val="center"/>
              <w:rPr>
                <w:b/>
                <w:bCs/>
              </w:rPr>
            </w:pPr>
            <w:r>
              <w:rPr>
                <w:rFonts w:hint="eastAsia"/>
                <w:b/>
                <w:bCs/>
              </w:rPr>
              <w:t>33</w:t>
            </w:r>
          </w:p>
        </w:tc>
        <w:tc>
          <w:tcPr>
            <w:tcW w:w="1268" w:type="dxa"/>
          </w:tcPr>
          <w:p>
            <w:pPr>
              <w:jc w:val="center"/>
              <w:rPr>
                <w:szCs w:val="21"/>
              </w:rPr>
            </w:pPr>
            <w:r>
              <w:rPr>
                <w:rFonts w:hint="eastAsia"/>
                <w:szCs w:val="21"/>
              </w:rPr>
              <w:t>OT综合训练台</w:t>
            </w:r>
          </w:p>
        </w:tc>
        <w:tc>
          <w:tcPr>
            <w:tcW w:w="1001" w:type="dxa"/>
          </w:tcPr>
          <w:p>
            <w:pPr>
              <w:jc w:val="center"/>
              <w:rPr>
                <w:b/>
                <w:bCs/>
              </w:rPr>
            </w:pPr>
            <w:r>
              <w:rPr>
                <w:rFonts w:hint="eastAsia"/>
                <w:b/>
                <w:bCs/>
              </w:rPr>
              <w:t>2</w:t>
            </w:r>
          </w:p>
        </w:tc>
        <w:tc>
          <w:tcPr>
            <w:tcW w:w="5113" w:type="dxa"/>
          </w:tcPr>
          <w:p>
            <w:pPr>
              <w:rPr>
                <w:rFonts w:ascii="宋体" w:hAnsi="宋体"/>
                <w:szCs w:val="21"/>
              </w:rPr>
            </w:pPr>
            <w:r>
              <w:rPr>
                <w:rFonts w:hint="eastAsia" w:ascii="微软雅黑" w:hAnsi="微软雅黑" w:eastAsia="微软雅黑" w:cs="微软雅黑"/>
                <w:color w:val="000000"/>
                <w:kern w:val="0"/>
                <w:sz w:val="18"/>
                <w:szCs w:val="18"/>
                <w:lang w:bidi="ar"/>
              </w:rPr>
              <w:t>操作台190×103×94㎝，左右操作台面44.5X36X2,后操作面板94.5X36X2;组件：上肢协调功能练习器（手指），分指板、分指板（弧形）、铁棍插板、木插板、套圈（立式）、几何图形插板、认知图形插板、模拟作业工具、上螺丝、上螺母、磁性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34</w:t>
            </w:r>
          </w:p>
        </w:tc>
        <w:tc>
          <w:tcPr>
            <w:tcW w:w="1268" w:type="dxa"/>
          </w:tcPr>
          <w:p>
            <w:pPr>
              <w:jc w:val="center"/>
              <w:rPr>
                <w:szCs w:val="21"/>
              </w:rPr>
            </w:pPr>
            <w:r>
              <w:rPr>
                <w:rFonts w:hint="eastAsia"/>
                <w:szCs w:val="21"/>
              </w:rPr>
              <w:t>智能磨砂板</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2.1</w:t>
            </w:r>
            <w:r>
              <w:rPr>
                <w:rFonts w:hint="eastAsia" w:ascii="微软雅黑" w:hAnsi="微软雅黑" w:eastAsia="微软雅黑" w:cs="微软雅黑"/>
                <w:color w:val="000000"/>
                <w:kern w:val="0"/>
                <w:sz w:val="18"/>
                <w:szCs w:val="18"/>
                <w:lang w:bidi="ar"/>
              </w:rPr>
              <w:t>▲</w:t>
            </w:r>
            <w:r>
              <w:rPr>
                <w:rFonts w:ascii="微软雅黑" w:hAnsi="微软雅黑" w:eastAsia="微软雅黑" w:cs="微软雅黑"/>
                <w:color w:val="000000"/>
                <w:kern w:val="0"/>
                <w:sz w:val="18"/>
                <w:szCs w:val="18"/>
                <w:lang w:bidi="ar"/>
              </w:rPr>
              <w:t>系统可自动记忆患者训练时磨砂板的角度和高度参数，一键自动调节</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2.2</w:t>
            </w:r>
            <w:r>
              <w:rPr>
                <w:rFonts w:hint="eastAsia" w:ascii="微软雅黑" w:hAnsi="微软雅黑" w:eastAsia="微软雅黑" w:cs="微软雅黑"/>
                <w:color w:val="000000"/>
                <w:kern w:val="0"/>
                <w:sz w:val="18"/>
                <w:szCs w:val="18"/>
                <w:lang w:bidi="ar"/>
              </w:rPr>
              <w:t>具备</w:t>
            </w:r>
            <w:r>
              <w:rPr>
                <w:rFonts w:ascii="微软雅黑" w:hAnsi="微软雅黑" w:eastAsia="微软雅黑" w:cs="微软雅黑"/>
                <w:color w:val="000000"/>
                <w:kern w:val="0"/>
                <w:sz w:val="18"/>
                <w:szCs w:val="18"/>
                <w:lang w:bidi="ar"/>
              </w:rPr>
              <w:t>操作提示界面，系统操作简单快捷</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2.3提供视觉轨迹和声控传递智能引导训练模式</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2.4✮六种光点颜色选择，记忆适合用户视觉的光点颜色配置，且可自定义设置混合显示，满足视觉功能障碍患者训练要求</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2.5训练过程中提供光点轨迹方向提示，指引用户按照特定方向训练</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2.6提供国际通用评估量表，评估结束后自动生成评估报告</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2.7多种训练模式互相组合，满足上肢早期抗痉挛、</w:t>
            </w:r>
            <w:r>
              <w:rPr>
                <w:rFonts w:hint="eastAsia" w:ascii="微软雅黑" w:hAnsi="微软雅黑" w:eastAsia="微软雅黑" w:cs="微软雅黑"/>
                <w:color w:val="000000"/>
                <w:kern w:val="0"/>
                <w:sz w:val="18"/>
                <w:szCs w:val="18"/>
                <w:lang w:bidi="ar"/>
              </w:rPr>
              <w:t>健侧带动患侧</w:t>
            </w:r>
            <w:r>
              <w:rPr>
                <w:rFonts w:ascii="微软雅黑" w:hAnsi="微软雅黑" w:eastAsia="微软雅黑" w:cs="微软雅黑"/>
                <w:color w:val="000000"/>
                <w:kern w:val="0"/>
                <w:sz w:val="18"/>
                <w:szCs w:val="18"/>
                <w:lang w:bidi="ar"/>
              </w:rPr>
              <w:t>、诱发分离运动、手眼协调、活动度、</w:t>
            </w:r>
            <w:r>
              <w:rPr>
                <w:rFonts w:hint="eastAsia" w:ascii="微软雅黑" w:hAnsi="微软雅黑" w:eastAsia="微软雅黑" w:cs="微软雅黑"/>
                <w:color w:val="000000"/>
                <w:kern w:val="0"/>
                <w:sz w:val="18"/>
                <w:szCs w:val="18"/>
                <w:lang w:bidi="ar"/>
              </w:rPr>
              <w:t>提高肌力</w:t>
            </w:r>
            <w:r>
              <w:rPr>
                <w:rFonts w:ascii="微软雅黑" w:hAnsi="微软雅黑" w:eastAsia="微软雅黑" w:cs="微软雅黑"/>
                <w:color w:val="000000"/>
                <w:kern w:val="0"/>
                <w:sz w:val="18"/>
                <w:szCs w:val="18"/>
                <w:lang w:bidi="ar"/>
              </w:rPr>
              <w:t>等多功能训练</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ascii="微软雅黑" w:hAnsi="微软雅黑" w:eastAsia="微软雅黑" w:cs="微软雅黑"/>
                <w:color w:val="000000"/>
                <w:kern w:val="0"/>
                <w:sz w:val="18"/>
                <w:szCs w:val="18"/>
                <w:lang w:bidi="ar"/>
              </w:rPr>
              <w:t>2.8</w:t>
            </w:r>
            <w:r>
              <w:rPr>
                <w:rFonts w:hint="eastAsia" w:ascii="微软雅黑" w:hAnsi="微软雅黑" w:eastAsia="微软雅黑" w:cs="微软雅黑"/>
                <w:color w:val="000000"/>
                <w:kern w:val="0"/>
                <w:sz w:val="18"/>
                <w:szCs w:val="18"/>
                <w:lang w:bidi="ar"/>
              </w:rPr>
              <w:t>▲</w:t>
            </w:r>
            <w:r>
              <w:rPr>
                <w:rFonts w:ascii="微软雅黑" w:hAnsi="微软雅黑" w:eastAsia="微软雅黑" w:cs="微软雅黑"/>
                <w:color w:val="000000"/>
                <w:kern w:val="0"/>
                <w:sz w:val="18"/>
                <w:szCs w:val="18"/>
                <w:lang w:bidi="ar"/>
              </w:rPr>
              <w:t>提供24种常用砂磨板训练轨迹</w:t>
            </w:r>
            <w:r>
              <w:rPr>
                <w:rFonts w:hint="eastAsia" w:ascii="微软雅黑" w:hAnsi="微软雅黑" w:eastAsia="微软雅黑" w:cs="微软雅黑"/>
                <w:color w:val="000000"/>
                <w:kern w:val="0"/>
                <w:sz w:val="18"/>
                <w:szCs w:val="18"/>
                <w:lang w:bidi="ar"/>
              </w:rPr>
              <w:t>，训练范围可调，方向</w:t>
            </w:r>
            <w:r>
              <w:rPr>
                <w:rFonts w:ascii="微软雅黑" w:hAnsi="微软雅黑" w:eastAsia="微软雅黑" w:cs="微软雅黑"/>
                <w:color w:val="000000"/>
                <w:kern w:val="0"/>
                <w:sz w:val="18"/>
                <w:szCs w:val="18"/>
                <w:lang w:bidi="ar"/>
              </w:rPr>
              <w:t>包括单方向、往返方向、多方向组合、直线、折线、规则曲线等轨迹，且各种轨迹可以随意组合和设定训练时间及次数</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2.9</w:t>
            </w:r>
            <w:r>
              <w:rPr>
                <w:rFonts w:ascii="微软雅黑" w:hAnsi="微软雅黑" w:eastAsia="微软雅黑" w:cs="微软雅黑"/>
                <w:color w:val="000000"/>
                <w:kern w:val="0"/>
                <w:sz w:val="18"/>
                <w:szCs w:val="18"/>
                <w:lang w:bidi="ar"/>
              </w:rPr>
              <w:t>✮可根据用户需求自定义设置训练轨迹的大小及位置变化，提供17种表情、26个英文字母、18个拼音、37个数字等上百种轨迹训练模式</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2.10</w:t>
            </w:r>
            <w:r>
              <w:rPr>
                <w:rFonts w:ascii="微软雅黑" w:hAnsi="微软雅黑" w:eastAsia="微软雅黑" w:cs="微软雅黑"/>
                <w:color w:val="000000"/>
                <w:kern w:val="0"/>
                <w:sz w:val="18"/>
                <w:szCs w:val="18"/>
                <w:lang w:bidi="ar"/>
              </w:rPr>
              <w:t>提供7种情景互动训练游戏，可自由设置训练难易等级、重复时间、重复次数、休息时间等</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2.11</w:t>
            </w:r>
            <w:r>
              <w:rPr>
                <w:rFonts w:ascii="微软雅黑" w:hAnsi="微软雅黑" w:eastAsia="微软雅黑" w:cs="微软雅黑"/>
                <w:color w:val="000000"/>
                <w:kern w:val="0"/>
                <w:sz w:val="18"/>
                <w:szCs w:val="18"/>
                <w:lang w:bidi="ar"/>
              </w:rPr>
              <w:t>✮单个设备可双人竞赛互动训练，多个设备可联网竞赛训练</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2.12</w:t>
            </w:r>
            <w:r>
              <w:rPr>
                <w:rFonts w:ascii="微软雅黑" w:hAnsi="微软雅黑" w:eastAsia="微软雅黑" w:cs="微软雅黑"/>
                <w:color w:val="000000"/>
                <w:kern w:val="0"/>
                <w:sz w:val="18"/>
                <w:szCs w:val="18"/>
                <w:lang w:bidi="ar"/>
              </w:rPr>
              <w:t>可以自由设置训练方案，一键生成训练处方，一键调用训练处方</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2.13</w:t>
            </w:r>
            <w:r>
              <w:rPr>
                <w:rFonts w:ascii="微软雅黑" w:hAnsi="微软雅黑" w:eastAsia="微软雅黑" w:cs="微软雅黑"/>
                <w:color w:val="000000"/>
                <w:kern w:val="0"/>
                <w:sz w:val="18"/>
                <w:szCs w:val="18"/>
                <w:lang w:bidi="ar"/>
              </w:rPr>
              <w:t>自动记录训练轨迹及活动范围，训练结束后自动计算得分情况，训练数据实时反馈，自动生成训练报告，</w:t>
            </w:r>
            <w:r>
              <w:rPr>
                <w:rFonts w:hint="eastAsia" w:ascii="微软雅黑" w:hAnsi="微软雅黑" w:eastAsia="微软雅黑" w:cs="微软雅黑"/>
                <w:color w:val="000000"/>
                <w:kern w:val="0"/>
                <w:sz w:val="18"/>
                <w:szCs w:val="18"/>
                <w:lang w:bidi="ar"/>
              </w:rPr>
              <w:t>可跟</w:t>
            </w:r>
            <w:r>
              <w:rPr>
                <w:rFonts w:ascii="微软雅黑" w:hAnsi="微软雅黑" w:eastAsia="微软雅黑" w:cs="微软雅黑"/>
                <w:color w:val="000000"/>
                <w:kern w:val="0"/>
                <w:sz w:val="18"/>
                <w:szCs w:val="18"/>
                <w:lang w:bidi="ar"/>
              </w:rPr>
              <w:t>踪康复</w:t>
            </w:r>
            <w:r>
              <w:rPr>
                <w:rFonts w:hint="eastAsia" w:ascii="微软雅黑" w:hAnsi="微软雅黑" w:eastAsia="微软雅黑" w:cs="微软雅黑"/>
                <w:color w:val="000000"/>
                <w:kern w:val="0"/>
                <w:sz w:val="18"/>
                <w:szCs w:val="18"/>
                <w:lang w:bidi="ar"/>
              </w:rPr>
              <w:t>效果。</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2.14▲轨迹热度图反馈轨迹的运动情况供分析。</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2.15</w:t>
            </w:r>
            <w:r>
              <w:rPr>
                <w:rFonts w:ascii="微软雅黑" w:hAnsi="微软雅黑" w:eastAsia="微软雅黑" w:cs="微软雅黑"/>
                <w:color w:val="000000"/>
                <w:kern w:val="0"/>
                <w:sz w:val="18"/>
                <w:szCs w:val="18"/>
                <w:lang w:bidi="ar"/>
              </w:rPr>
              <w:t>能够记录患者的数据库，支持大量的用户的数据记录，一个患者一个数据库，无纸化管理</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2.16</w:t>
            </w:r>
            <w:r>
              <w:rPr>
                <w:rFonts w:ascii="微软雅黑" w:hAnsi="微软雅黑" w:eastAsia="微软雅黑" w:cs="微软雅黑"/>
                <w:color w:val="000000"/>
                <w:kern w:val="0"/>
                <w:sz w:val="18"/>
                <w:szCs w:val="18"/>
                <w:lang w:bidi="ar"/>
              </w:rPr>
              <w:t>系统自动保存评估训练报告，可直接打印评估训练结果，提供直观的评估与训练结果显示</w:t>
            </w:r>
            <w:r>
              <w:rPr>
                <w:rFonts w:hint="eastAsia" w:ascii="微软雅黑" w:hAnsi="微软雅黑" w:eastAsia="微软雅黑" w:cs="微软雅黑"/>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35</w:t>
            </w:r>
          </w:p>
        </w:tc>
        <w:tc>
          <w:tcPr>
            <w:tcW w:w="1268" w:type="dxa"/>
          </w:tcPr>
          <w:p>
            <w:pPr>
              <w:jc w:val="center"/>
              <w:rPr>
                <w:szCs w:val="21"/>
              </w:rPr>
            </w:pPr>
            <w:r>
              <w:rPr>
                <w:rFonts w:hint="eastAsia"/>
                <w:szCs w:val="21"/>
              </w:rPr>
              <w:t>锲型垫</w:t>
            </w:r>
          </w:p>
        </w:tc>
        <w:tc>
          <w:tcPr>
            <w:tcW w:w="1001" w:type="dxa"/>
          </w:tcPr>
          <w:p>
            <w:pPr>
              <w:jc w:val="center"/>
              <w:rPr>
                <w:b/>
                <w:bCs/>
              </w:rPr>
            </w:pPr>
            <w:r>
              <w:rPr>
                <w:rFonts w:hint="eastAsia"/>
                <w:b/>
                <w:bCs/>
              </w:rPr>
              <w:t>1</w:t>
            </w:r>
          </w:p>
        </w:tc>
        <w:tc>
          <w:tcPr>
            <w:tcW w:w="5113" w:type="dxa"/>
          </w:tcPr>
          <w:p>
            <w:pPr>
              <w:jc w:val="left"/>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规格：55*51*11cm、55*51*21cm、55*51*24cm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36</w:t>
            </w:r>
          </w:p>
        </w:tc>
        <w:tc>
          <w:tcPr>
            <w:tcW w:w="1268" w:type="dxa"/>
          </w:tcPr>
          <w:p>
            <w:pPr>
              <w:jc w:val="center"/>
              <w:rPr>
                <w:szCs w:val="21"/>
              </w:rPr>
            </w:pPr>
            <w:r>
              <w:rPr>
                <w:rFonts w:hint="eastAsia"/>
                <w:szCs w:val="21"/>
              </w:rPr>
              <w:t>手部多功能训练桌(软件款)</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2.1、训练位置（个）: 4（包函：4台平板电脑，4套控制系统），可以单人或多人同时训练（最多4人）。</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2.2、训练部位:</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产品中包含12个训练部位：腕关节尺偏桡偏，手指对称位，拇指力量，手指抓握，手指屈伸，手指捏力，腕关节背屈背伸，前臂伸展，手掌抓握，前臂旋转，手指平拉，手柄提升。可以通过点触液晶界面上的部位图标，来进入该部位的参数设置界面。</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2.3训练参数设置：</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1）时间设置范围（min）: 1-2002）阻力设置范围（档）: 1-10</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3）速度设置范围（档）: 1-104）痉挛保护（档）: 1-3</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2.4、情景动画:系统内含有14个动画游戏，有：钓鱼、挤果汁、旋转烧烤、汽车追逐等。将娱乐与训练相结合，将单一机械的康复训练演变为有趣的互动游戏，在康复作业同时更好的把握康复的节奏，逐级增加作业难度，更高效地去进行康复作业。</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2.5、训练报告:训练结束后，界面会显示当前训练的报告，报告中显示此次训练的速度、阻力、时间、训练次数、痉挛次数。</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2.6、用户管理:产品还具有数据保存的功能。</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2.7、痉挛保护：产品具有痉挛提示功能，如在作业的过程中发生痉挛时弹出保护界面，在停止作业的同时发出语音提示，避免产生不必要的伤害。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37</w:t>
            </w:r>
          </w:p>
        </w:tc>
        <w:tc>
          <w:tcPr>
            <w:tcW w:w="1268" w:type="dxa"/>
          </w:tcPr>
          <w:p>
            <w:pPr>
              <w:jc w:val="center"/>
              <w:rPr>
                <w:szCs w:val="21"/>
              </w:rPr>
            </w:pPr>
            <w:r>
              <w:rPr>
                <w:rFonts w:hint="eastAsia"/>
                <w:szCs w:val="21"/>
              </w:rPr>
              <w:t>数字OT训练系统</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2.1设备的高度和角度采用电动模式，满足不同身高的患者临床康复训练需求。</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2.2系统内置帮助系统图文指导，指导标准化操作，方便治疗师及患者快速熟悉康复训练要求。</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2.3提供医生权限锁功能，患者训练时只能操作训练区域内容，避免患者乱点击修改菜单栏上的数据信息，无需治疗师全程陪同训练，减轻治疗师工作量。</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2.4人机互动与游戏训练完美结合，能够充分调动患者的积极性和主观能动性，让患者更好的参与到康复训练中去，从而提高认知功能障碍及上肢运动功能障碍的功能恢复。</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2.5四大功能模块：认知功能训练、手眼协调训练、益智娱乐以及评估量表，操作使用逻辑简单便捷。</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2.6</w:t>
            </w:r>
            <w:r>
              <w:rPr>
                <w:rFonts w:ascii="微软雅黑" w:hAnsi="微软雅黑" w:eastAsia="微软雅黑" w:cs="微软雅黑"/>
                <w:color w:val="000000"/>
                <w:kern w:val="0"/>
                <w:sz w:val="18"/>
                <w:szCs w:val="18"/>
                <w:lang w:bidi="ar"/>
              </w:rPr>
              <w:t>✮提供52种国际通用评估量表，涵盖认知功能、神经康复功能、作业ADL，肌张力评估、偏瘫手评估、Berg平衡评估等多方面，评估结束后自动生成图文并茂的评估报告，</w:t>
            </w:r>
            <w:r>
              <w:rPr>
                <w:rFonts w:hint="eastAsia" w:ascii="微软雅黑" w:hAnsi="微软雅黑" w:eastAsia="微软雅黑" w:cs="微软雅黑"/>
                <w:color w:val="000000"/>
                <w:kern w:val="0"/>
                <w:sz w:val="18"/>
                <w:szCs w:val="18"/>
                <w:lang w:bidi="ar"/>
              </w:rPr>
              <w:t>智能</w:t>
            </w:r>
            <w:r>
              <w:rPr>
                <w:rFonts w:ascii="微软雅黑" w:hAnsi="微软雅黑" w:eastAsia="微软雅黑" w:cs="微软雅黑"/>
                <w:color w:val="000000"/>
                <w:kern w:val="0"/>
                <w:sz w:val="18"/>
                <w:szCs w:val="18"/>
                <w:lang w:bidi="ar"/>
              </w:rPr>
              <w:t>推荐训练处方，也可自由设置训练处方</w:t>
            </w:r>
            <w:r>
              <w:rPr>
                <w:rFonts w:hint="eastAsia" w:ascii="微软雅黑" w:hAnsi="微软雅黑" w:eastAsia="微软雅黑" w:cs="微软雅黑"/>
                <w:color w:val="000000"/>
                <w:kern w:val="0"/>
                <w:sz w:val="18"/>
                <w:szCs w:val="18"/>
                <w:lang w:bidi="ar"/>
              </w:rPr>
              <w:t>，遵循了康复治疗中评估-治疗-评估的治疗原则，让康复治疗更加系统化，规范化。</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2.7▲系统可实时全程录制主试者及被试者的语音，捕获被试者的屏幕，可全程记录被试者的多种反馈，再现评测现场数据，方便典型病例的完整的评估回溯，保留科研的一线数据。</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2.8提供融合视觉、听觉、触觉等多感官的32个训练游戏100多种训练方式，不仅涵盖了注意力、记忆力、逻辑思维能力、感知能力等训练，还包括形状、颜色、数字、字母、分类、ADL等训练。 </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2.9</w:t>
            </w:r>
            <w:r>
              <w:rPr>
                <w:rFonts w:ascii="微软雅黑" w:hAnsi="微软雅黑" w:eastAsia="微软雅黑" w:cs="微软雅黑"/>
                <w:color w:val="000000"/>
                <w:kern w:val="0"/>
                <w:sz w:val="18"/>
                <w:szCs w:val="18"/>
                <w:lang w:bidi="ar"/>
              </w:rPr>
              <w:t>✮</w:t>
            </w:r>
            <w:r>
              <w:rPr>
                <w:rFonts w:hint="eastAsia" w:ascii="微软雅黑" w:hAnsi="微软雅黑" w:eastAsia="微软雅黑" w:cs="微软雅黑"/>
                <w:color w:val="000000"/>
                <w:kern w:val="0"/>
                <w:sz w:val="18"/>
                <w:szCs w:val="18"/>
                <w:lang w:bidi="ar"/>
              </w:rPr>
              <w:t>提供手、眼、认知协调性运动训练及双人竞赛互动训练等，训练时间、训练难度、健患侧选择、训练模式、训练类型等可以自由设置。</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2.10丰富的精细运动控制和认知结合训练，图库不少于1000种，能够提供丰富的动画显示。</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2.11训练结束后自动生成图文并茂的训练报告，可根据报告比对分析，开具训练处方，实时掌握患者的康复进程。</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2.12</w:t>
            </w:r>
            <w:r>
              <w:rPr>
                <w:rFonts w:ascii="微软雅黑" w:hAnsi="微软雅黑" w:eastAsia="微软雅黑" w:cs="微软雅黑"/>
                <w:color w:val="000000"/>
                <w:kern w:val="0"/>
                <w:sz w:val="18"/>
                <w:szCs w:val="18"/>
                <w:lang w:bidi="ar"/>
              </w:rPr>
              <w:t>✮</w:t>
            </w:r>
            <w:r>
              <w:rPr>
                <w:rFonts w:hint="eastAsia" w:ascii="微软雅黑" w:hAnsi="微软雅黑" w:eastAsia="微软雅黑" w:cs="微软雅黑"/>
                <w:color w:val="000000"/>
                <w:kern w:val="0"/>
                <w:sz w:val="18"/>
                <w:szCs w:val="18"/>
                <w:lang w:bidi="ar"/>
              </w:rPr>
              <w:t>训练报告有区域热度分析等详细记录功能，有利于判断患者上肢活动范围及认知功能的训练效果。</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2.13可打印评估报告及训练报告，为治疗师提供直观的评估训练结果显示，并可在报告中写入评语、诊断与医嘱信息，诊断信息支持一键设置调用，提高治疗师效率。</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2.14提供强大的透明统计，穿透式统计可深入统计到量表的具体评估项目得分情况，系统既可宏观统计，又可微观统计，实现数据分析全透明化。</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2.15提供丰富的软件数据功能，一个患者一个数据库，支持大量的患者的数据记录，量化分析，无纸化管理。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38</w:t>
            </w:r>
          </w:p>
        </w:tc>
        <w:tc>
          <w:tcPr>
            <w:tcW w:w="1268" w:type="dxa"/>
          </w:tcPr>
          <w:p>
            <w:pPr>
              <w:jc w:val="center"/>
              <w:rPr>
                <w:szCs w:val="21"/>
              </w:rPr>
            </w:pPr>
            <w:r>
              <w:rPr>
                <w:rFonts w:hint="eastAsia"/>
                <w:szCs w:val="21"/>
              </w:rPr>
              <w:t>情景互动训练系统</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w:t>
            </w:r>
            <w:r>
              <w:rPr>
                <w:rFonts w:ascii="微软雅黑" w:hAnsi="微软雅黑" w:eastAsia="微软雅黑" w:cs="微软雅黑"/>
                <w:color w:val="000000"/>
                <w:kern w:val="0"/>
                <w:sz w:val="18"/>
                <w:szCs w:val="18"/>
                <w:lang w:bidi="ar"/>
              </w:rPr>
              <w:t>支持中文、英文一键选择切换显示，满足国内临床需求，提供系统免费升级服务。</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2.系统界面及游戏均使用Low Poly设计风格，主界面采用呼吸圈模式，可以直观的看到每层菜单内容，逻辑清晰，操作便捷。3D动态画面，色彩鲜艳，简洁不失科技感，媲美页游，甚至能达到独立游戏的画面质感，激发患者主动训练的热情。</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3.</w:t>
            </w:r>
            <w:r>
              <w:rPr>
                <w:rFonts w:ascii="微软雅黑" w:hAnsi="微软雅黑" w:eastAsia="微软雅黑" w:cs="微软雅黑"/>
                <w:color w:val="000000"/>
                <w:kern w:val="0"/>
                <w:sz w:val="18"/>
                <w:szCs w:val="18"/>
                <w:lang w:bidi="ar"/>
              </w:rPr>
              <w:t>三种操作方式：无线键盘鼠标操作、触摸屏操作、独家研发的手势控制操作，方便治疗师临床使用。</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4.</w:t>
            </w:r>
            <w:r>
              <w:rPr>
                <w:rFonts w:ascii="微软雅黑" w:hAnsi="微软雅黑" w:eastAsia="微软雅黑" w:cs="微软雅黑"/>
                <w:color w:val="000000"/>
                <w:kern w:val="0"/>
                <w:sz w:val="18"/>
                <w:szCs w:val="18"/>
                <w:lang w:bidi="ar"/>
              </w:rPr>
              <w:t>系统有森林、海洋、天空三种背景主题一键切换显示</w:t>
            </w:r>
            <w:r>
              <w:rPr>
                <w:rFonts w:hint="eastAsia" w:ascii="微软雅黑" w:hAnsi="微软雅黑" w:eastAsia="微软雅黑" w:cs="微软雅黑"/>
                <w:color w:val="000000"/>
                <w:kern w:val="0"/>
                <w:sz w:val="18"/>
                <w:szCs w:val="18"/>
                <w:lang w:bidi="ar"/>
              </w:rPr>
              <w:t>。</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5.主界面菜单采用呼吸圈功能设计，操作使用一目了然，可以在同一个界面直观地操控每层菜单的项目内容，逻辑清晰，操作便捷，最短操作时间可达到15秒。</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6.六大评测功能模块：躯干平衡、肩膀协调、单脚站立、功能性举手、从坐到站、上肢活动范围，涵盖全身功能评测，评测报告以X-Y轴象限图表展示，可做前后对比，数据图形化，治疗师可以录入诊断信息，康复状态一目了然，报告可打印输出。</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7.关节活动度评估功能：采用智能关节识别技术，传感器每秒捕捉30次数据，实时跟踪全身关节活动度，可对用户全身25个关节点快速识别，对四肢和躯干关节活动度进行测量、评估，无需传统量角器，无需佩带传感器，系统自动形成评测报告。</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8.</w:t>
            </w:r>
            <w:r>
              <w:rPr>
                <w:rFonts w:ascii="微软雅黑" w:hAnsi="微软雅黑" w:eastAsia="微软雅黑" w:cs="微软雅黑"/>
                <w:color w:val="000000"/>
                <w:kern w:val="0"/>
                <w:sz w:val="18"/>
                <w:szCs w:val="18"/>
                <w:lang w:bidi="ar"/>
              </w:rPr>
              <w:t>训练处方可自由编辑储存，随时调用，储存数量无上限，处方训练游戏可以重复选择，交替选择。</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9.内置多种应用场景，反应时间、控制时间、反应模式、反应姿势均可以任意设置，健侧与患侧同步协调训练、正手训练、反手训练、交叉训练等多模式；颜色、图形、智力等多种训练游戏。</w:t>
            </w:r>
          </w:p>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10.具有坐姿、站姿、步态、感统等多种训练方案；包括单部位训练，综合训练，多人综合训练，包含了上肢、下肢、躯干等各项肌力、ROM、平衡、协调、认知等功能康复训练。</w:t>
            </w:r>
          </w:p>
          <w:p>
            <w:pPr>
              <w:jc w:val="left"/>
              <w:rPr>
                <w:rFonts w:ascii="微软雅黑" w:hAnsi="微软雅黑" w:eastAsia="微软雅黑" w:cs="微软雅黑"/>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tcPr>
          <w:p>
            <w:pPr>
              <w:jc w:val="center"/>
              <w:rPr>
                <w:b/>
                <w:bCs/>
              </w:rPr>
            </w:pPr>
            <w:r>
              <w:rPr>
                <w:rFonts w:hint="eastAsia"/>
                <w:b/>
                <w:bCs/>
              </w:rPr>
              <w:t>39</w:t>
            </w:r>
          </w:p>
        </w:tc>
        <w:tc>
          <w:tcPr>
            <w:tcW w:w="1268" w:type="dxa"/>
          </w:tcPr>
          <w:p>
            <w:pPr>
              <w:jc w:val="center"/>
              <w:rPr>
                <w:szCs w:val="21"/>
              </w:rPr>
            </w:pPr>
            <w:r>
              <w:rPr>
                <w:rFonts w:hint="eastAsia"/>
                <w:szCs w:val="21"/>
              </w:rPr>
              <w:t>自助具</w:t>
            </w:r>
          </w:p>
        </w:tc>
        <w:tc>
          <w:tcPr>
            <w:tcW w:w="1001" w:type="dxa"/>
          </w:tcPr>
          <w:p>
            <w:pPr>
              <w:jc w:val="center"/>
              <w:rPr>
                <w:b/>
                <w:bCs/>
              </w:rPr>
            </w:pPr>
            <w:r>
              <w:rPr>
                <w:rFonts w:hint="eastAsia"/>
                <w:b/>
                <w:bCs/>
              </w:rPr>
              <w:t>1</w:t>
            </w:r>
          </w:p>
        </w:tc>
        <w:tc>
          <w:tcPr>
            <w:tcW w:w="5113" w:type="dxa"/>
          </w:tcPr>
          <w:p>
            <w:pPr>
              <w:jc w:val="left"/>
              <w:rPr>
                <w:rFonts w:ascii="宋体" w:hAnsi="宋体"/>
                <w:szCs w:val="21"/>
              </w:rPr>
            </w:pPr>
            <w:r>
              <w:rPr>
                <w:rFonts w:hint="eastAsia" w:ascii="微软雅黑" w:hAnsi="微软雅黑" w:eastAsia="微软雅黑" w:cs="微软雅黑"/>
                <w:color w:val="000000"/>
                <w:kern w:val="0"/>
                <w:sz w:val="18"/>
                <w:szCs w:val="18"/>
                <w:lang w:bidi="ar"/>
              </w:rPr>
              <w:t>用于自主锻炼使用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tcPr>
          <w:p>
            <w:pPr>
              <w:jc w:val="center"/>
              <w:rPr>
                <w:b/>
                <w:bCs/>
              </w:rPr>
            </w:pPr>
            <w:r>
              <w:rPr>
                <w:rFonts w:hint="eastAsia"/>
                <w:b/>
                <w:bCs/>
              </w:rPr>
              <w:t>40</w:t>
            </w:r>
          </w:p>
        </w:tc>
        <w:tc>
          <w:tcPr>
            <w:tcW w:w="1268" w:type="dxa"/>
          </w:tcPr>
          <w:p>
            <w:pPr>
              <w:jc w:val="center"/>
              <w:rPr>
                <w:szCs w:val="21"/>
              </w:rPr>
            </w:pPr>
            <w:r>
              <w:rPr>
                <w:rFonts w:hint="eastAsia"/>
                <w:szCs w:val="21"/>
              </w:rPr>
              <w:t>康复工程（热塑材料制作工具）</w:t>
            </w:r>
          </w:p>
        </w:tc>
        <w:tc>
          <w:tcPr>
            <w:tcW w:w="1001" w:type="dxa"/>
          </w:tcPr>
          <w:p>
            <w:pPr>
              <w:jc w:val="center"/>
              <w:rPr>
                <w:b/>
                <w:bCs/>
              </w:rPr>
            </w:pPr>
            <w:r>
              <w:rPr>
                <w:rFonts w:hint="eastAsia"/>
                <w:b/>
                <w:bCs/>
              </w:rPr>
              <w:t>1</w:t>
            </w:r>
          </w:p>
        </w:tc>
        <w:tc>
          <w:tcPr>
            <w:tcW w:w="5113" w:type="dxa"/>
          </w:tcPr>
          <w:p>
            <w:pPr>
              <w:widowControl/>
              <w:jc w:val="left"/>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1、恒温水箱：1、外尺寸：720*570*200mm</w:t>
            </w:r>
          </w:p>
          <w:p>
            <w:pPr>
              <w:widowControl/>
              <w:jc w:val="left"/>
              <w:textAlignment w:val="center"/>
              <w:rPr>
                <w:rFonts w:ascii="宋体" w:hAnsi="宋体"/>
                <w:szCs w:val="21"/>
              </w:rPr>
            </w:pPr>
            <w:r>
              <w:rPr>
                <w:rFonts w:hint="eastAsia" w:ascii="微软雅黑" w:hAnsi="微软雅黑" w:eastAsia="微软雅黑" w:cs="微软雅黑"/>
                <w:color w:val="000000"/>
                <w:kern w:val="0"/>
                <w:sz w:val="18"/>
                <w:szCs w:val="18"/>
                <w:lang w:bidi="ar"/>
              </w:rPr>
              <w:t>内尺寸：650*500*100mm；2、功率：2000W 2、操作台：1、材料：实木+钢；2、尺寸：桌面高0.8m，总高1.3m;宽0.8米，长1.5米；3、有5个抽屉，10个挂钩。</w:t>
            </w:r>
          </w:p>
        </w:tc>
      </w:tr>
    </w:tbl>
    <w:p>
      <w:pPr>
        <w:rPr>
          <w:b/>
          <w:bCs/>
        </w:rPr>
      </w:pPr>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fldChar w:fldCharType="begin"/>
    </w:r>
    <w:r>
      <w:rPr>
        <w:rStyle w:val="9"/>
      </w:rPr>
      <w:instrText xml:space="preserve">PAGE  </w:instrText>
    </w:r>
    <w: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fldChar w:fldCharType="begin"/>
    </w:r>
    <w:r>
      <w:rPr>
        <w:rStyle w:val="9"/>
      </w:rPr>
      <w:instrText xml:space="preserve">PAGE  </w:instrText>
    </w:r>
    <w:r>
      <w:fldChar w:fldCharType="separate"/>
    </w:r>
    <w:r>
      <w:rPr>
        <w:rStyle w:val="9"/>
      </w:rPr>
      <w:t>14</w:t>
    </w:r>
    <w:r>
      <w:fldChar w:fldCharType="end"/>
    </w:r>
  </w:p>
  <w:p>
    <w:pPr>
      <w:pStyle w:val="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4E738"/>
    <w:multiLevelType w:val="singleLevel"/>
    <w:tmpl w:val="8944E738"/>
    <w:lvl w:ilvl="0" w:tentative="0">
      <w:start w:val="3"/>
      <w:numFmt w:val="chineseCounting"/>
      <w:suff w:val="nothing"/>
      <w:lvlText w:val="%1、"/>
      <w:lvlJc w:val="left"/>
      <w:rPr>
        <w:rFonts w:hint="eastAsia"/>
      </w:rPr>
    </w:lvl>
  </w:abstractNum>
  <w:abstractNum w:abstractNumId="1">
    <w:nsid w:val="D9520319"/>
    <w:multiLevelType w:val="singleLevel"/>
    <w:tmpl w:val="D9520319"/>
    <w:lvl w:ilvl="0" w:tentative="0">
      <w:start w:val="2"/>
      <w:numFmt w:val="decimal"/>
      <w:suff w:val="nothing"/>
      <w:lvlText w:val="（%1）"/>
      <w:lvlJc w:val="left"/>
    </w:lvl>
  </w:abstractNum>
  <w:abstractNum w:abstractNumId="2">
    <w:nsid w:val="149FDB87"/>
    <w:multiLevelType w:val="singleLevel"/>
    <w:tmpl w:val="149FDB87"/>
    <w:lvl w:ilvl="0" w:tentative="0">
      <w:start w:val="7"/>
      <w:numFmt w:val="decimal"/>
      <w:lvlText w:val="%1."/>
      <w:lvlJc w:val="left"/>
      <w:pPr>
        <w:tabs>
          <w:tab w:val="left" w:pos="312"/>
        </w:tabs>
      </w:pPr>
    </w:lvl>
  </w:abstractNum>
  <w:abstractNum w:abstractNumId="3">
    <w:nsid w:val="5C9E216F"/>
    <w:multiLevelType w:val="singleLevel"/>
    <w:tmpl w:val="5C9E216F"/>
    <w:lvl w:ilvl="0" w:tentative="0">
      <w:start w:val="1"/>
      <w:numFmt w:val="decimal"/>
      <w:lvlText w:val="%1."/>
      <w:lvlJc w:val="left"/>
      <w:pPr>
        <w:ind w:left="425" w:hanging="425"/>
      </w:pPr>
      <w:rPr>
        <w:rFonts w:hint="default"/>
      </w:rPr>
    </w:lvl>
  </w:abstractNum>
  <w:abstractNum w:abstractNumId="4">
    <w:nsid w:val="7FB75363"/>
    <w:multiLevelType w:val="singleLevel"/>
    <w:tmpl w:val="7FB75363"/>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ZjI5ODU1NmY5NWI2NjJmZTRlNWY0NjQ3ZmE5NWYifQ=="/>
  </w:docVars>
  <w:rsids>
    <w:rsidRoot w:val="005A49A0"/>
    <w:rsid w:val="000058A1"/>
    <w:rsid w:val="00007D85"/>
    <w:rsid w:val="00012E76"/>
    <w:rsid w:val="00013D4A"/>
    <w:rsid w:val="00072A1B"/>
    <w:rsid w:val="00074E71"/>
    <w:rsid w:val="000C1948"/>
    <w:rsid w:val="000C53DA"/>
    <w:rsid w:val="000F7823"/>
    <w:rsid w:val="00107787"/>
    <w:rsid w:val="00107BF9"/>
    <w:rsid w:val="00150976"/>
    <w:rsid w:val="00153533"/>
    <w:rsid w:val="00155E48"/>
    <w:rsid w:val="001572C8"/>
    <w:rsid w:val="00171FFA"/>
    <w:rsid w:val="00172DA2"/>
    <w:rsid w:val="00183D23"/>
    <w:rsid w:val="00190846"/>
    <w:rsid w:val="00197A8A"/>
    <w:rsid w:val="001A76F1"/>
    <w:rsid w:val="001B2C7F"/>
    <w:rsid w:val="001B7F0A"/>
    <w:rsid w:val="001C2B10"/>
    <w:rsid w:val="001C77D8"/>
    <w:rsid w:val="001E3A34"/>
    <w:rsid w:val="001E4AFD"/>
    <w:rsid w:val="002030C7"/>
    <w:rsid w:val="002053B1"/>
    <w:rsid w:val="00216187"/>
    <w:rsid w:val="00226761"/>
    <w:rsid w:val="002268D9"/>
    <w:rsid w:val="00235C1A"/>
    <w:rsid w:val="00250F8A"/>
    <w:rsid w:val="00252448"/>
    <w:rsid w:val="00264704"/>
    <w:rsid w:val="00273A3C"/>
    <w:rsid w:val="002766A4"/>
    <w:rsid w:val="00283042"/>
    <w:rsid w:val="00283BC4"/>
    <w:rsid w:val="002B066A"/>
    <w:rsid w:val="002C3984"/>
    <w:rsid w:val="002D719F"/>
    <w:rsid w:val="002F2781"/>
    <w:rsid w:val="002F7A91"/>
    <w:rsid w:val="0031146B"/>
    <w:rsid w:val="0031551A"/>
    <w:rsid w:val="003155D4"/>
    <w:rsid w:val="0032204D"/>
    <w:rsid w:val="00327A27"/>
    <w:rsid w:val="00331F9D"/>
    <w:rsid w:val="00337AFD"/>
    <w:rsid w:val="00340E9A"/>
    <w:rsid w:val="00347548"/>
    <w:rsid w:val="00374CD1"/>
    <w:rsid w:val="003900DE"/>
    <w:rsid w:val="003925E1"/>
    <w:rsid w:val="003A1B21"/>
    <w:rsid w:val="003A1EC1"/>
    <w:rsid w:val="003A2C2A"/>
    <w:rsid w:val="003A38C3"/>
    <w:rsid w:val="003A58FE"/>
    <w:rsid w:val="003B315C"/>
    <w:rsid w:val="003D12B0"/>
    <w:rsid w:val="003D7DD6"/>
    <w:rsid w:val="00412B82"/>
    <w:rsid w:val="00420427"/>
    <w:rsid w:val="00421102"/>
    <w:rsid w:val="004240A6"/>
    <w:rsid w:val="00426580"/>
    <w:rsid w:val="004506C0"/>
    <w:rsid w:val="00452F1F"/>
    <w:rsid w:val="00453992"/>
    <w:rsid w:val="004718DF"/>
    <w:rsid w:val="004A0F8D"/>
    <w:rsid w:val="004A236E"/>
    <w:rsid w:val="004C3DA9"/>
    <w:rsid w:val="004C4E21"/>
    <w:rsid w:val="004D3067"/>
    <w:rsid w:val="004F06D2"/>
    <w:rsid w:val="004F4763"/>
    <w:rsid w:val="005155DA"/>
    <w:rsid w:val="00551F2F"/>
    <w:rsid w:val="00565AB6"/>
    <w:rsid w:val="00574390"/>
    <w:rsid w:val="00575C53"/>
    <w:rsid w:val="00592E28"/>
    <w:rsid w:val="00594BAE"/>
    <w:rsid w:val="005A43B0"/>
    <w:rsid w:val="005A49A0"/>
    <w:rsid w:val="005A7B0E"/>
    <w:rsid w:val="005B0301"/>
    <w:rsid w:val="005C35D6"/>
    <w:rsid w:val="005D143D"/>
    <w:rsid w:val="005E0D32"/>
    <w:rsid w:val="005F4533"/>
    <w:rsid w:val="006058F9"/>
    <w:rsid w:val="00613656"/>
    <w:rsid w:val="00615C52"/>
    <w:rsid w:val="00625353"/>
    <w:rsid w:val="00626E3F"/>
    <w:rsid w:val="00643657"/>
    <w:rsid w:val="006472CC"/>
    <w:rsid w:val="00647B43"/>
    <w:rsid w:val="006722C8"/>
    <w:rsid w:val="0069462E"/>
    <w:rsid w:val="00697595"/>
    <w:rsid w:val="006A1298"/>
    <w:rsid w:val="006B6AE5"/>
    <w:rsid w:val="006D17D3"/>
    <w:rsid w:val="006E1B46"/>
    <w:rsid w:val="006E6C5B"/>
    <w:rsid w:val="006F23C5"/>
    <w:rsid w:val="006F356D"/>
    <w:rsid w:val="00710304"/>
    <w:rsid w:val="00711C6C"/>
    <w:rsid w:val="00730347"/>
    <w:rsid w:val="00734A4A"/>
    <w:rsid w:val="00735E54"/>
    <w:rsid w:val="007509A7"/>
    <w:rsid w:val="007539AB"/>
    <w:rsid w:val="0078785B"/>
    <w:rsid w:val="00787945"/>
    <w:rsid w:val="00794C99"/>
    <w:rsid w:val="007A193C"/>
    <w:rsid w:val="007B110F"/>
    <w:rsid w:val="007B7685"/>
    <w:rsid w:val="007C23A3"/>
    <w:rsid w:val="007C4502"/>
    <w:rsid w:val="007C7CA7"/>
    <w:rsid w:val="007D090D"/>
    <w:rsid w:val="007D3A35"/>
    <w:rsid w:val="007D5347"/>
    <w:rsid w:val="007E0854"/>
    <w:rsid w:val="007E18D9"/>
    <w:rsid w:val="007E30CF"/>
    <w:rsid w:val="007E5A18"/>
    <w:rsid w:val="007F1E00"/>
    <w:rsid w:val="007F3B9E"/>
    <w:rsid w:val="007F7A72"/>
    <w:rsid w:val="008010E3"/>
    <w:rsid w:val="008131EA"/>
    <w:rsid w:val="008335B7"/>
    <w:rsid w:val="00840634"/>
    <w:rsid w:val="00843124"/>
    <w:rsid w:val="00846E2A"/>
    <w:rsid w:val="00896225"/>
    <w:rsid w:val="008A51F4"/>
    <w:rsid w:val="008B0A67"/>
    <w:rsid w:val="008C2978"/>
    <w:rsid w:val="008C537C"/>
    <w:rsid w:val="008D3D07"/>
    <w:rsid w:val="008D4529"/>
    <w:rsid w:val="008D64AF"/>
    <w:rsid w:val="008D6CEF"/>
    <w:rsid w:val="008E799F"/>
    <w:rsid w:val="00902623"/>
    <w:rsid w:val="009039A2"/>
    <w:rsid w:val="00905182"/>
    <w:rsid w:val="00911A6E"/>
    <w:rsid w:val="0091450C"/>
    <w:rsid w:val="009175FB"/>
    <w:rsid w:val="00920DD6"/>
    <w:rsid w:val="009218BF"/>
    <w:rsid w:val="009264C0"/>
    <w:rsid w:val="00934D91"/>
    <w:rsid w:val="009353E7"/>
    <w:rsid w:val="00947AFA"/>
    <w:rsid w:val="00967C64"/>
    <w:rsid w:val="00970E98"/>
    <w:rsid w:val="0097653B"/>
    <w:rsid w:val="009819ED"/>
    <w:rsid w:val="009A258F"/>
    <w:rsid w:val="009A4B79"/>
    <w:rsid w:val="009B0E02"/>
    <w:rsid w:val="009C3C22"/>
    <w:rsid w:val="009F1286"/>
    <w:rsid w:val="009F218A"/>
    <w:rsid w:val="00A00CE2"/>
    <w:rsid w:val="00A17044"/>
    <w:rsid w:val="00A20506"/>
    <w:rsid w:val="00A2407C"/>
    <w:rsid w:val="00A35D4E"/>
    <w:rsid w:val="00A36191"/>
    <w:rsid w:val="00A36D57"/>
    <w:rsid w:val="00A401A4"/>
    <w:rsid w:val="00A540A0"/>
    <w:rsid w:val="00A669E0"/>
    <w:rsid w:val="00A70000"/>
    <w:rsid w:val="00A710EB"/>
    <w:rsid w:val="00A82474"/>
    <w:rsid w:val="00A9229D"/>
    <w:rsid w:val="00AB3546"/>
    <w:rsid w:val="00AB53D7"/>
    <w:rsid w:val="00AB54C4"/>
    <w:rsid w:val="00AC4542"/>
    <w:rsid w:val="00AD672D"/>
    <w:rsid w:val="00AF3A48"/>
    <w:rsid w:val="00B000C1"/>
    <w:rsid w:val="00B14C53"/>
    <w:rsid w:val="00B34E4F"/>
    <w:rsid w:val="00B417A3"/>
    <w:rsid w:val="00B4373B"/>
    <w:rsid w:val="00B61B49"/>
    <w:rsid w:val="00B6373E"/>
    <w:rsid w:val="00B70AC0"/>
    <w:rsid w:val="00B764D6"/>
    <w:rsid w:val="00B80E25"/>
    <w:rsid w:val="00B87B18"/>
    <w:rsid w:val="00B958BD"/>
    <w:rsid w:val="00BA630C"/>
    <w:rsid w:val="00BA7753"/>
    <w:rsid w:val="00BB0E4F"/>
    <w:rsid w:val="00BB2DA6"/>
    <w:rsid w:val="00BF71D3"/>
    <w:rsid w:val="00C0120E"/>
    <w:rsid w:val="00C04B6D"/>
    <w:rsid w:val="00C10C74"/>
    <w:rsid w:val="00C228FC"/>
    <w:rsid w:val="00C40D09"/>
    <w:rsid w:val="00C50F69"/>
    <w:rsid w:val="00C57B40"/>
    <w:rsid w:val="00C65A01"/>
    <w:rsid w:val="00C91DF5"/>
    <w:rsid w:val="00CA0C02"/>
    <w:rsid w:val="00CC116F"/>
    <w:rsid w:val="00CC517B"/>
    <w:rsid w:val="00CE66E3"/>
    <w:rsid w:val="00CF39F6"/>
    <w:rsid w:val="00CF5504"/>
    <w:rsid w:val="00D07586"/>
    <w:rsid w:val="00D10F2C"/>
    <w:rsid w:val="00D23AE3"/>
    <w:rsid w:val="00D409C6"/>
    <w:rsid w:val="00D40BFB"/>
    <w:rsid w:val="00D427D8"/>
    <w:rsid w:val="00D441A8"/>
    <w:rsid w:val="00D44CCA"/>
    <w:rsid w:val="00D45917"/>
    <w:rsid w:val="00D6184D"/>
    <w:rsid w:val="00D623B6"/>
    <w:rsid w:val="00D64B94"/>
    <w:rsid w:val="00D64D4A"/>
    <w:rsid w:val="00D92FC3"/>
    <w:rsid w:val="00DB100B"/>
    <w:rsid w:val="00DC0504"/>
    <w:rsid w:val="00DC1876"/>
    <w:rsid w:val="00DC2102"/>
    <w:rsid w:val="00DD1AF6"/>
    <w:rsid w:val="00DD369D"/>
    <w:rsid w:val="00DE19A9"/>
    <w:rsid w:val="00DE3D2E"/>
    <w:rsid w:val="00DF045E"/>
    <w:rsid w:val="00E061B3"/>
    <w:rsid w:val="00E061F0"/>
    <w:rsid w:val="00E37075"/>
    <w:rsid w:val="00E61A9C"/>
    <w:rsid w:val="00E73EC7"/>
    <w:rsid w:val="00E8025E"/>
    <w:rsid w:val="00E85F9A"/>
    <w:rsid w:val="00EA343E"/>
    <w:rsid w:val="00EA3B3C"/>
    <w:rsid w:val="00EB71F5"/>
    <w:rsid w:val="00EC5A7A"/>
    <w:rsid w:val="00EC66E0"/>
    <w:rsid w:val="00ED707A"/>
    <w:rsid w:val="00EE37E3"/>
    <w:rsid w:val="00F03C42"/>
    <w:rsid w:val="00F0411F"/>
    <w:rsid w:val="00F117D7"/>
    <w:rsid w:val="00F13DAC"/>
    <w:rsid w:val="00F1407C"/>
    <w:rsid w:val="00F16271"/>
    <w:rsid w:val="00F25E91"/>
    <w:rsid w:val="00F3025E"/>
    <w:rsid w:val="00F37205"/>
    <w:rsid w:val="00F45B8E"/>
    <w:rsid w:val="00F5539C"/>
    <w:rsid w:val="00F6196F"/>
    <w:rsid w:val="00F61FFC"/>
    <w:rsid w:val="00F904EE"/>
    <w:rsid w:val="00F9233D"/>
    <w:rsid w:val="00F92552"/>
    <w:rsid w:val="00F93F98"/>
    <w:rsid w:val="00FA470C"/>
    <w:rsid w:val="00FB2316"/>
    <w:rsid w:val="00FB3B98"/>
    <w:rsid w:val="00FC27AD"/>
    <w:rsid w:val="00FD0D23"/>
    <w:rsid w:val="00FD109F"/>
    <w:rsid w:val="00FD4018"/>
    <w:rsid w:val="00FE0565"/>
    <w:rsid w:val="00FE48B3"/>
    <w:rsid w:val="00FF54A2"/>
    <w:rsid w:val="00FF7820"/>
    <w:rsid w:val="02DB5ED1"/>
    <w:rsid w:val="033863CA"/>
    <w:rsid w:val="040F3E66"/>
    <w:rsid w:val="046307F9"/>
    <w:rsid w:val="056A217A"/>
    <w:rsid w:val="05F03CF9"/>
    <w:rsid w:val="0672009B"/>
    <w:rsid w:val="079E79DA"/>
    <w:rsid w:val="081E3021"/>
    <w:rsid w:val="086A3D60"/>
    <w:rsid w:val="08DC6162"/>
    <w:rsid w:val="0B5B3DA5"/>
    <w:rsid w:val="0B926C91"/>
    <w:rsid w:val="0C0E17FC"/>
    <w:rsid w:val="0E6C73A8"/>
    <w:rsid w:val="0E954A8C"/>
    <w:rsid w:val="0F2E5C1B"/>
    <w:rsid w:val="0F6356B0"/>
    <w:rsid w:val="0FBA08E5"/>
    <w:rsid w:val="0FD464CF"/>
    <w:rsid w:val="10B262A5"/>
    <w:rsid w:val="10BC5A49"/>
    <w:rsid w:val="115D6668"/>
    <w:rsid w:val="12F47B43"/>
    <w:rsid w:val="1363441C"/>
    <w:rsid w:val="13AA777A"/>
    <w:rsid w:val="13C916FC"/>
    <w:rsid w:val="13E148EA"/>
    <w:rsid w:val="14EF7AC7"/>
    <w:rsid w:val="153D7AFD"/>
    <w:rsid w:val="166E7112"/>
    <w:rsid w:val="17287913"/>
    <w:rsid w:val="1751137F"/>
    <w:rsid w:val="19B67973"/>
    <w:rsid w:val="1A367132"/>
    <w:rsid w:val="1B7D0858"/>
    <w:rsid w:val="1C8F32DB"/>
    <w:rsid w:val="1CE84065"/>
    <w:rsid w:val="1CEE64ED"/>
    <w:rsid w:val="1D0B4105"/>
    <w:rsid w:val="1DD960FF"/>
    <w:rsid w:val="1E6C1F1E"/>
    <w:rsid w:val="1EA7EFB0"/>
    <w:rsid w:val="20D06E94"/>
    <w:rsid w:val="21B924FC"/>
    <w:rsid w:val="229837F2"/>
    <w:rsid w:val="22C310F2"/>
    <w:rsid w:val="22CA0513"/>
    <w:rsid w:val="23002254"/>
    <w:rsid w:val="23052BAC"/>
    <w:rsid w:val="24103DA1"/>
    <w:rsid w:val="253056F9"/>
    <w:rsid w:val="25655306"/>
    <w:rsid w:val="272A10F3"/>
    <w:rsid w:val="27CB5EDE"/>
    <w:rsid w:val="27D25BEB"/>
    <w:rsid w:val="280256AF"/>
    <w:rsid w:val="28557E79"/>
    <w:rsid w:val="2A193429"/>
    <w:rsid w:val="2A465E57"/>
    <w:rsid w:val="2D1E116D"/>
    <w:rsid w:val="2D9E65F0"/>
    <w:rsid w:val="2F212B1B"/>
    <w:rsid w:val="302C0287"/>
    <w:rsid w:val="31B1462B"/>
    <w:rsid w:val="31FC517A"/>
    <w:rsid w:val="32FD574A"/>
    <w:rsid w:val="33C1667B"/>
    <w:rsid w:val="34DA2EBF"/>
    <w:rsid w:val="350F761D"/>
    <w:rsid w:val="35107278"/>
    <w:rsid w:val="358D4A0B"/>
    <w:rsid w:val="370047C4"/>
    <w:rsid w:val="384A7A8F"/>
    <w:rsid w:val="384E39DC"/>
    <w:rsid w:val="38AE7975"/>
    <w:rsid w:val="39397EF6"/>
    <w:rsid w:val="39FF1CAB"/>
    <w:rsid w:val="3A33061D"/>
    <w:rsid w:val="3A9630DE"/>
    <w:rsid w:val="3ACD7EEE"/>
    <w:rsid w:val="3B892174"/>
    <w:rsid w:val="3C960753"/>
    <w:rsid w:val="3CC93F90"/>
    <w:rsid w:val="3DAE7C70"/>
    <w:rsid w:val="3E0B50C2"/>
    <w:rsid w:val="3E6B7CCF"/>
    <w:rsid w:val="3E8C33CA"/>
    <w:rsid w:val="3EB86429"/>
    <w:rsid w:val="420F4A55"/>
    <w:rsid w:val="423166CC"/>
    <w:rsid w:val="427A6373"/>
    <w:rsid w:val="43663D51"/>
    <w:rsid w:val="43894E5E"/>
    <w:rsid w:val="43EB6FD4"/>
    <w:rsid w:val="4413365F"/>
    <w:rsid w:val="467B4169"/>
    <w:rsid w:val="48A46656"/>
    <w:rsid w:val="490270C2"/>
    <w:rsid w:val="49E760C4"/>
    <w:rsid w:val="4B045006"/>
    <w:rsid w:val="4B3A2FA9"/>
    <w:rsid w:val="4CE049BE"/>
    <w:rsid w:val="4D31441A"/>
    <w:rsid w:val="4DBC60E7"/>
    <w:rsid w:val="4F275509"/>
    <w:rsid w:val="504E3554"/>
    <w:rsid w:val="50EE68AA"/>
    <w:rsid w:val="51B25BDA"/>
    <w:rsid w:val="520412F6"/>
    <w:rsid w:val="551A701C"/>
    <w:rsid w:val="555655AF"/>
    <w:rsid w:val="558757F5"/>
    <w:rsid w:val="56563ADF"/>
    <w:rsid w:val="57C13D8C"/>
    <w:rsid w:val="57FD2BA0"/>
    <w:rsid w:val="581A4428"/>
    <w:rsid w:val="58503D65"/>
    <w:rsid w:val="59864D44"/>
    <w:rsid w:val="59C6764A"/>
    <w:rsid w:val="5A20384C"/>
    <w:rsid w:val="5B5C08B4"/>
    <w:rsid w:val="5C437790"/>
    <w:rsid w:val="5C6E139F"/>
    <w:rsid w:val="5D96561B"/>
    <w:rsid w:val="5E945782"/>
    <w:rsid w:val="5EAB48AC"/>
    <w:rsid w:val="5FA02EEA"/>
    <w:rsid w:val="5FEF5128"/>
    <w:rsid w:val="60F502E0"/>
    <w:rsid w:val="6165311F"/>
    <w:rsid w:val="61C82AA7"/>
    <w:rsid w:val="62A769B8"/>
    <w:rsid w:val="63A15146"/>
    <w:rsid w:val="644864D3"/>
    <w:rsid w:val="644B3AE5"/>
    <w:rsid w:val="648779FB"/>
    <w:rsid w:val="65F91E6C"/>
    <w:rsid w:val="66502A2F"/>
    <w:rsid w:val="66A55805"/>
    <w:rsid w:val="68AF1C08"/>
    <w:rsid w:val="69092D7D"/>
    <w:rsid w:val="698C2398"/>
    <w:rsid w:val="69EC374B"/>
    <w:rsid w:val="6A677AAA"/>
    <w:rsid w:val="6C154600"/>
    <w:rsid w:val="6CA61167"/>
    <w:rsid w:val="6D321474"/>
    <w:rsid w:val="6D327CCE"/>
    <w:rsid w:val="6DAC0844"/>
    <w:rsid w:val="6E296D1B"/>
    <w:rsid w:val="6E765F14"/>
    <w:rsid w:val="6EAD75FE"/>
    <w:rsid w:val="6EB94E6D"/>
    <w:rsid w:val="6FD35191"/>
    <w:rsid w:val="706B4FF7"/>
    <w:rsid w:val="7157594D"/>
    <w:rsid w:val="71C94653"/>
    <w:rsid w:val="72157113"/>
    <w:rsid w:val="72E32F73"/>
    <w:rsid w:val="737315E8"/>
    <w:rsid w:val="73AA5D83"/>
    <w:rsid w:val="7427333F"/>
    <w:rsid w:val="750E27C7"/>
    <w:rsid w:val="75865EA6"/>
    <w:rsid w:val="76405B0A"/>
    <w:rsid w:val="766A7ED1"/>
    <w:rsid w:val="771026DC"/>
    <w:rsid w:val="78530A6D"/>
    <w:rsid w:val="78FF5730"/>
    <w:rsid w:val="793B3143"/>
    <w:rsid w:val="7AC776DB"/>
    <w:rsid w:val="7AC83418"/>
    <w:rsid w:val="7B474C85"/>
    <w:rsid w:val="7C2F624D"/>
    <w:rsid w:val="7CF41A27"/>
    <w:rsid w:val="7D0270B5"/>
    <w:rsid w:val="7EA86627"/>
    <w:rsid w:val="7FB5D88E"/>
    <w:rsid w:val="9BFB5F83"/>
    <w:rsid w:val="AAAE5856"/>
    <w:rsid w:val="BFDD356D"/>
    <w:rsid w:val="DA6FA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99"/>
    <w:pPr>
      <w:tabs>
        <w:tab w:val="left" w:pos="540"/>
      </w:tabs>
      <w:spacing w:line="360" w:lineRule="auto"/>
      <w:ind w:left="-257" w:right="-330" w:firstLine="480"/>
    </w:pPr>
    <w:rPr>
      <w:rFonts w:ascii="宋体" w:hAnsi="宋体"/>
      <w:kern w:val="0"/>
      <w:szCs w:val="20"/>
    </w:r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character" w:customStyle="1" w:styleId="10">
    <w:name w:val="font01"/>
    <w:basedOn w:val="8"/>
    <w:qFormat/>
    <w:uiPriority w:val="0"/>
    <w:rPr>
      <w:rFonts w:hint="eastAsia" w:ascii="微软雅黑" w:hAnsi="微软雅黑" w:eastAsia="微软雅黑" w:cs="微软雅黑"/>
      <w:color w:val="000000"/>
      <w:sz w:val="18"/>
      <w:szCs w:val="18"/>
      <w:u w:val="none"/>
    </w:rPr>
  </w:style>
  <w:style w:type="character" w:customStyle="1" w:styleId="11">
    <w:name w:val="font41"/>
    <w:basedOn w:val="8"/>
    <w:qFormat/>
    <w:uiPriority w:val="0"/>
    <w:rPr>
      <w:rFonts w:hint="eastAsia" w:ascii="微软雅黑" w:hAnsi="微软雅黑" w:eastAsia="微软雅黑" w:cs="微软雅黑"/>
      <w:b/>
      <w:color w:val="000000"/>
      <w:sz w:val="18"/>
      <w:szCs w:val="18"/>
      <w:u w:val="none"/>
    </w:rPr>
  </w:style>
  <w:style w:type="character" w:customStyle="1" w:styleId="12">
    <w:name w:val="font31"/>
    <w:basedOn w:val="8"/>
    <w:qFormat/>
    <w:uiPriority w:val="0"/>
    <w:rPr>
      <w:rFonts w:hint="eastAsia" w:ascii="微软雅黑" w:hAnsi="微软雅黑" w:eastAsia="微软雅黑" w:cs="微软雅黑"/>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 (Beijing) Limited</Company>
  <Pages>25</Pages>
  <Words>13985</Words>
  <Characters>16114</Characters>
  <Lines>55</Lines>
  <Paragraphs>15</Paragraphs>
  <TotalTime>28</TotalTime>
  <ScaleCrop>false</ScaleCrop>
  <LinksUpToDate>false</LinksUpToDate>
  <CharactersWithSpaces>17011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2023-04-23T21:48:00Z</dcterms:created>
  <dc:creator>Lenovo User</dc:creator>
  <cp:lastModifiedBy>梧桐雨</cp:lastModifiedBy>
  <cp:lastPrinted>2015-03-25T18:15:00Z</cp:lastPrinted>
  <dcterms:modified xsi:type="dcterms:W3CDTF">2024-07-12T04:51:56Z</dcterms:modified>
  <dc:title>紫琅职业技术学院</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F4D42E0BA9484EC1868A615EE14BEA13_13</vt:lpwstr>
  </property>
</Properties>
</file>