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240"/>
        <w:jc w:val="center"/>
        <w:rPr>
          <w:rFonts w:hint="eastAsia" w:ascii="宋体" w:hAnsi="宋体"/>
          <w:b/>
          <w:bCs/>
          <w:sz w:val="44"/>
          <w:szCs w:val="44"/>
          <w:lang w:eastAsia="zh-CN"/>
        </w:rPr>
      </w:pPr>
      <w:r>
        <w:rPr>
          <w:rFonts w:hint="eastAsia" w:ascii="宋体" w:hAnsi="宋体"/>
          <w:b/>
          <w:bCs/>
          <w:sz w:val="44"/>
          <w:szCs w:val="44"/>
          <w:lang w:val="en-US" w:eastAsia="zh-CN"/>
        </w:rPr>
        <w:t>询价</w:t>
      </w:r>
      <w:r>
        <w:rPr>
          <w:rFonts w:hint="eastAsia" w:ascii="宋体" w:hAnsi="宋体"/>
          <w:b/>
          <w:bCs/>
          <w:sz w:val="44"/>
          <w:szCs w:val="44"/>
          <w:lang w:eastAsia="zh-CN"/>
        </w:rPr>
        <w:t>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240"/>
        <w:jc w:val="center"/>
        <w:rPr>
          <w:rFonts w:hint="eastAsia"/>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ZCZB2023005</w:t>
      </w:r>
      <w:r>
        <w:rPr>
          <w:rFonts w:hint="eastAsia" w:ascii="宋体" w:hAnsi="宋体" w:eastAsia="宋体" w:cs="宋体"/>
          <w:b/>
          <w:bCs/>
          <w:sz w:val="24"/>
          <w:szCs w:val="24"/>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根据国家采购与招投标法律法规的有关规定，南通理工学院对南通校区图书大楼10楼艺术收藏展柜采购项目进行公开询价，欢迎具备相应资质和实力的投标单位参加投标。现将有关事项公告如下：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240"/>
        <w:jc w:val="left"/>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   </w:t>
      </w:r>
      <w:r>
        <w:rPr>
          <w:rFonts w:hint="eastAsia" w:ascii="仿宋" w:hAnsi="仿宋" w:eastAsia="仿宋" w:cs="仿宋"/>
          <w:b/>
          <w:bCs/>
          <w:i w:val="0"/>
          <w:iCs w:val="0"/>
          <w:caps w:val="0"/>
          <w:color w:val="auto"/>
          <w:spacing w:val="0"/>
          <w:kern w:val="0"/>
          <w:sz w:val="24"/>
          <w:szCs w:val="24"/>
          <w:shd w:val="clear" w:fill="FFFFFF"/>
          <w:lang w:val="en-US" w:eastAsia="zh-CN" w:bidi="ar"/>
        </w:rPr>
        <w:t> </w:t>
      </w:r>
      <w:r>
        <w:rPr>
          <w:rStyle w:val="9"/>
          <w:rFonts w:hint="eastAsia" w:ascii="仿宋" w:hAnsi="仿宋" w:eastAsia="仿宋" w:cs="仿宋"/>
          <w:b/>
          <w:bCs/>
          <w:i w:val="0"/>
          <w:iCs w:val="0"/>
          <w:caps w:val="0"/>
          <w:color w:val="auto"/>
          <w:spacing w:val="0"/>
          <w:kern w:val="0"/>
          <w:sz w:val="24"/>
          <w:szCs w:val="24"/>
          <w:shd w:val="clear" w:fill="FFFFFF"/>
          <w:lang w:val="en-US" w:eastAsia="zh-CN" w:bidi="ar"/>
        </w:rPr>
        <w:t>一、招标内容：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480" w:firstLineChars="200"/>
        <w:jc w:val="both"/>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1、项目名称：南通理工学院南通校区图书大楼艺术收藏展柜采购。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480" w:firstLineChars="200"/>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shd w:val="clear" w:fill="FFFFFF"/>
        </w:rPr>
        <w:t>2、招标内容：具体采购内容及技术参数要求详见招标文件。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480" w:firstLineChars="200"/>
        <w:jc w:val="left"/>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3、项目概况：该项目位于南通理工学院南通校区图书大楼10楼。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480" w:firstLineChars="200"/>
        <w:jc w:val="both"/>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4、工期要求：合同签订后30个日历天。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6"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bCs/>
          <w:i w:val="0"/>
          <w:iCs w:val="0"/>
          <w:caps w:val="0"/>
          <w:color w:val="auto"/>
          <w:spacing w:val="0"/>
          <w:kern w:val="0"/>
          <w:sz w:val="24"/>
          <w:szCs w:val="24"/>
          <w:shd w:val="clear" w:fill="FFFFFF"/>
          <w:lang w:val="en-US" w:eastAsia="zh-CN" w:bidi="ar"/>
        </w:rPr>
        <w:t>二、投标人资格要求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参加本次招标活动的供应商除应当符合《中华人民共和国民法典》规定外，还必须具备以下条件：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1、经国家工商行政管理机关注册的企业法人；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2、具有本次采购货物的供货、安装、售后服务等的相应资质；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3、具有良好的商业信誉，近三年运营状况良好且未处于停业或破产状态，资产未被重组、接管和冻结，没有骗取中标、严重违约、恶意举报（含举报不实）行为，不存在尚未了结的重大诉讼案件，不存在招标投标活动中受到违规处罚且处于该地区或该行业限制投标期间的记录等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6"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bCs/>
          <w:i w:val="0"/>
          <w:iCs w:val="0"/>
          <w:caps w:val="0"/>
          <w:color w:val="auto"/>
          <w:spacing w:val="0"/>
          <w:kern w:val="0"/>
          <w:sz w:val="24"/>
          <w:szCs w:val="24"/>
          <w:shd w:val="clear" w:fill="FFFFFF"/>
          <w:lang w:val="en-US" w:eastAsia="zh-CN" w:bidi="ar"/>
        </w:rPr>
        <w:t>三、招标文件获取</w:t>
      </w:r>
      <w:r>
        <w:rPr>
          <w:rFonts w:hint="eastAsia" w:ascii="仿宋" w:hAnsi="仿宋" w:eastAsia="仿宋" w:cs="仿宋"/>
          <w:b w:val="0"/>
          <w:bCs w:val="0"/>
          <w:i w:val="0"/>
          <w:iCs w:val="0"/>
          <w:caps w:val="0"/>
          <w:color w:val="auto"/>
          <w:spacing w:val="0"/>
          <w:kern w:val="0"/>
          <w:sz w:val="24"/>
          <w:szCs w:val="24"/>
          <w:shd w:val="clear" w:fill="FFFFFF"/>
          <w:lang w:val="en-US" w:eastAsia="zh-CN" w:bidi="ar"/>
        </w:rPr>
        <w:t>：投标人自行登录南通理工学院招投标https://hqzc.ntit.edu.cn下载。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6"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bCs/>
          <w:i w:val="0"/>
          <w:iCs w:val="0"/>
          <w:caps w:val="0"/>
          <w:color w:val="auto"/>
          <w:spacing w:val="0"/>
          <w:kern w:val="0"/>
          <w:sz w:val="24"/>
          <w:szCs w:val="24"/>
          <w:shd w:val="clear" w:fill="FFFFFF"/>
          <w:lang w:val="en-US" w:eastAsia="zh-CN" w:bidi="ar"/>
        </w:rPr>
        <w:t>四、招标文件售价</w:t>
      </w:r>
      <w:r>
        <w:rPr>
          <w:rFonts w:hint="eastAsia" w:ascii="仿宋" w:hAnsi="仿宋" w:eastAsia="仿宋" w:cs="仿宋"/>
          <w:b w:val="0"/>
          <w:bCs w:val="0"/>
          <w:i w:val="0"/>
          <w:iCs w:val="0"/>
          <w:caps w:val="0"/>
          <w:color w:val="auto"/>
          <w:spacing w:val="0"/>
          <w:kern w:val="0"/>
          <w:sz w:val="24"/>
          <w:szCs w:val="24"/>
          <w:shd w:val="clear" w:fill="FFFFFF"/>
          <w:lang w:val="en-US" w:eastAsia="zh-CN" w:bidi="ar"/>
        </w:rPr>
        <w:t>：人民币200元（支付宝，支付宝账号：18851411506。报名前缴纳，</w:t>
      </w:r>
      <w:r>
        <w:rPr>
          <w:rFonts w:hint="eastAsia" w:ascii="仿宋" w:hAnsi="仿宋" w:eastAsia="仿宋" w:cs="仿宋"/>
          <w:b/>
          <w:i w:val="0"/>
          <w:caps w:val="0"/>
          <w:color w:val="000000"/>
          <w:spacing w:val="0"/>
          <w:sz w:val="24"/>
          <w:szCs w:val="24"/>
          <w:lang w:val="en-US" w:eastAsia="zh-CN"/>
        </w:rPr>
        <w:t>注明公司名称+项目简称，</w:t>
      </w:r>
      <w:r>
        <w:rPr>
          <w:rFonts w:hint="eastAsia" w:ascii="仿宋" w:hAnsi="仿宋" w:eastAsia="仿宋" w:cs="仿宋"/>
          <w:b w:val="0"/>
          <w:bCs w:val="0"/>
          <w:i w:val="0"/>
          <w:iCs w:val="0"/>
          <w:caps w:val="0"/>
          <w:color w:val="auto"/>
          <w:spacing w:val="0"/>
          <w:kern w:val="0"/>
          <w:sz w:val="24"/>
          <w:szCs w:val="24"/>
          <w:shd w:val="clear" w:fill="FFFFFF"/>
          <w:lang w:val="en-US" w:eastAsia="zh-CN" w:bidi="ar"/>
        </w:rPr>
        <w:t>售后不退）。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6"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bCs/>
          <w:i w:val="0"/>
          <w:iCs w:val="0"/>
          <w:caps w:val="0"/>
          <w:color w:val="auto"/>
          <w:spacing w:val="0"/>
          <w:kern w:val="0"/>
          <w:sz w:val="24"/>
          <w:szCs w:val="24"/>
          <w:shd w:val="clear" w:fill="FFFFFF"/>
          <w:lang w:val="en-US" w:eastAsia="zh-CN" w:bidi="ar"/>
        </w:rPr>
        <w:t>五、投标保证金：</w:t>
      </w:r>
      <w:r>
        <w:rPr>
          <w:rFonts w:hint="eastAsia" w:ascii="仿宋" w:hAnsi="仿宋" w:eastAsia="仿宋" w:cs="仿宋"/>
          <w:b w:val="0"/>
          <w:bCs w:val="0"/>
          <w:i w:val="0"/>
          <w:iCs w:val="0"/>
          <w:caps w:val="0"/>
          <w:color w:val="auto"/>
          <w:spacing w:val="0"/>
          <w:kern w:val="0"/>
          <w:sz w:val="24"/>
          <w:szCs w:val="24"/>
          <w:shd w:val="clear" w:fill="FFFFFF"/>
          <w:lang w:val="en-US" w:eastAsia="zh-CN" w:bidi="ar"/>
        </w:rPr>
        <w:t>人民币5000元，投标保证金一律采用转账方式汇至我单位银行账户，转账时备注项目名称及用途，我处原则上不接受现金交纳方式；投标保证金必须在投标报名前汇至我单位，报名时附汇款记录。如报名时未交投标保证金和附投标保证金汇款记录，则报名不成功，我单位将不接受投标文件。在退还投标保证金时，我处一律采用转账方式予以退还到各单位银行账户上。（未中标单位交纳的投标保证金将等额无息退还，中标单位交纳的投标保证金则转为履约保证金，合同签订，项目施工结束后，将等额无息退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0"/>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南通理工学院账户信息：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0"/>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开户名：南通理工学院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0"/>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统一社会代码：12320000724161141N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0"/>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开户行：中行南通分行营业部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0"/>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账号：541758202529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0"/>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行号：104306084105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0"/>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地址：南通市崇川区永兴路211号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6" w:firstLineChars="214"/>
        <w:jc w:val="left"/>
        <w:rPr>
          <w:rFonts w:hint="eastAsia" w:ascii="仿宋" w:hAnsi="仿宋" w:eastAsia="仿宋" w:cs="仿宋"/>
          <w:b/>
          <w:bCs/>
          <w:i w:val="0"/>
          <w:iCs w:val="0"/>
          <w:caps w:val="0"/>
          <w:color w:val="auto"/>
          <w:spacing w:val="0"/>
          <w:kern w:val="0"/>
          <w:sz w:val="24"/>
          <w:szCs w:val="24"/>
          <w:shd w:val="clear" w:fill="FFFFFF"/>
          <w:lang w:val="en-US" w:eastAsia="zh-CN" w:bidi="ar"/>
        </w:rPr>
      </w:pPr>
      <w:r>
        <w:rPr>
          <w:rFonts w:hint="eastAsia" w:ascii="仿宋" w:hAnsi="仿宋" w:eastAsia="仿宋" w:cs="仿宋"/>
          <w:b/>
          <w:bCs/>
          <w:i w:val="0"/>
          <w:iCs w:val="0"/>
          <w:caps w:val="0"/>
          <w:color w:val="auto"/>
          <w:spacing w:val="0"/>
          <w:kern w:val="0"/>
          <w:sz w:val="24"/>
          <w:szCs w:val="24"/>
          <w:shd w:val="clear" w:fill="FFFFFF"/>
          <w:lang w:val="en-US" w:eastAsia="zh-CN" w:bidi="ar"/>
        </w:rPr>
        <w:t>六、时间、地点安排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递交投标文件时间：2023年5月22日（8:30-11:00）将投标文件（要求密封）递交我校资产与基建处资产招标采购科。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6" w:firstLineChars="214"/>
        <w:jc w:val="left"/>
        <w:rPr>
          <w:rFonts w:hint="eastAsia" w:ascii="仿宋" w:hAnsi="仿宋" w:eastAsia="仿宋" w:cs="仿宋"/>
          <w:b/>
          <w:bCs/>
          <w:i w:val="0"/>
          <w:iCs w:val="0"/>
          <w:caps w:val="0"/>
          <w:color w:val="auto"/>
          <w:spacing w:val="0"/>
          <w:kern w:val="0"/>
          <w:sz w:val="24"/>
          <w:szCs w:val="24"/>
          <w:shd w:val="clear" w:fill="FFFFFF"/>
          <w:lang w:val="en-US" w:eastAsia="zh-CN" w:bidi="ar"/>
        </w:rPr>
      </w:pPr>
      <w:r>
        <w:rPr>
          <w:rFonts w:hint="eastAsia" w:ascii="仿宋" w:hAnsi="仿宋" w:eastAsia="仿宋" w:cs="仿宋"/>
          <w:b/>
          <w:bCs/>
          <w:i w:val="0"/>
          <w:iCs w:val="0"/>
          <w:caps w:val="0"/>
          <w:color w:val="auto"/>
          <w:spacing w:val="0"/>
          <w:kern w:val="0"/>
          <w:sz w:val="24"/>
          <w:szCs w:val="24"/>
          <w:shd w:val="clear" w:fill="FFFFFF"/>
          <w:lang w:val="en-US" w:eastAsia="zh-CN" w:bidi="ar"/>
        </w:rPr>
        <w:t>七、投标文件递交方式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482" w:firstLineChars="200"/>
        <w:jc w:val="both"/>
        <w:rPr>
          <w:rFonts w:hint="eastAsia" w:ascii="仿宋" w:hAnsi="仿宋" w:eastAsia="仿宋" w:cs="仿宋"/>
          <w:i w:val="0"/>
          <w:iCs w:val="0"/>
          <w:caps w:val="0"/>
          <w:color w:val="auto"/>
          <w:spacing w:val="0"/>
          <w:sz w:val="24"/>
          <w:szCs w:val="24"/>
        </w:rPr>
      </w:pPr>
      <w:r>
        <w:rPr>
          <w:rStyle w:val="9"/>
          <w:rFonts w:hint="eastAsia" w:ascii="仿宋" w:hAnsi="仿宋" w:eastAsia="仿宋" w:cs="仿宋"/>
          <w:i w:val="0"/>
          <w:iCs w:val="0"/>
          <w:caps w:val="0"/>
          <w:color w:val="auto"/>
          <w:spacing w:val="0"/>
          <w:kern w:val="0"/>
          <w:sz w:val="24"/>
          <w:szCs w:val="24"/>
          <w:shd w:val="clear" w:fill="FFFFFF"/>
          <w:lang w:val="en-US" w:eastAsia="zh-CN" w:bidi="ar"/>
        </w:rPr>
        <w:t>现场递交：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（1）投标文件接收地点：南通理工学院资产与基建处行政楼216办公室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（2）联系人及联系方式：任老师18851411506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快递邮寄：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标书可采用邮寄方式。邮寄的投标文件必须密封且在外包装显著位置注明项目标识（项目编号、项目名称和投标人名称），无标识或标识模糊不清的，不予接收。投标文件须用EMS快递在投标截止时间之前送达并由接收人签收，超期送达或外包装破损的邮寄信件不予接收。投标人应充分考虑并自行承担邮寄造成的一切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收件人：任老师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收件地址：南通市崇川区永兴路211号南通理工学院资产与基建处行政楼216办公室（行政楼大厅右拐乘电梯到2楼）。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联系电话：18851411506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6" w:firstLineChars="214"/>
        <w:jc w:val="left"/>
        <w:rPr>
          <w:rFonts w:hint="eastAsia" w:ascii="仿宋" w:hAnsi="仿宋" w:eastAsia="仿宋" w:cs="仿宋"/>
          <w:b/>
          <w:bCs/>
          <w:i w:val="0"/>
          <w:iCs w:val="0"/>
          <w:caps w:val="0"/>
          <w:color w:val="auto"/>
          <w:spacing w:val="0"/>
          <w:kern w:val="0"/>
          <w:sz w:val="24"/>
          <w:szCs w:val="24"/>
          <w:shd w:val="clear" w:fill="FFFFFF"/>
          <w:lang w:val="en-US" w:eastAsia="zh-CN" w:bidi="ar"/>
        </w:rPr>
      </w:pPr>
      <w:r>
        <w:rPr>
          <w:rFonts w:hint="eastAsia" w:ascii="仿宋" w:hAnsi="仿宋" w:eastAsia="仿宋" w:cs="仿宋"/>
          <w:b/>
          <w:bCs/>
          <w:i w:val="0"/>
          <w:iCs w:val="0"/>
          <w:caps w:val="0"/>
          <w:color w:val="auto"/>
          <w:spacing w:val="0"/>
          <w:kern w:val="0"/>
          <w:sz w:val="24"/>
          <w:szCs w:val="24"/>
          <w:shd w:val="clear" w:fill="FFFFFF"/>
          <w:lang w:val="en-US" w:eastAsia="zh-CN" w:bidi="ar"/>
        </w:rPr>
        <w:t>八、与本次谈判有关的商务事宜请按下列通讯方式联系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单位部门：南通理工学院资产与基建处资产管理中心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联系地址：江苏省南通市崇川区永兴路211号，资产与基建处资产招标采购科。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邮政编码：226002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联系人：任老师18851411506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监督及投诉电话：  蔡老师13813609710，Email：</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仿宋" w:hAnsi="仿宋" w:eastAsia="仿宋" w:cs="仿宋"/>
          <w:b w:val="0"/>
          <w:bCs w:val="0"/>
          <w:i w:val="0"/>
          <w:iCs w:val="0"/>
          <w:caps w:val="0"/>
          <w:color w:val="auto"/>
          <w:spacing w:val="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513" w:firstLineChars="214"/>
        <w:jc w:val="left"/>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kern w:val="0"/>
          <w:sz w:val="24"/>
          <w:szCs w:val="24"/>
          <w:shd w:val="clear" w:fill="FFFFFF"/>
          <w:lang w:val="en-US" w:eastAsia="zh-CN" w:bidi="ar"/>
        </w:rPr>
        <w:t>联系时间：工作日8:00-11:00,14:00-17:00。其他时间概不接待。</w:t>
      </w:r>
    </w:p>
    <w:p>
      <w:pPr>
        <w:rPr>
          <w:rFonts w:hint="eastAsia" w:ascii="仿宋" w:hAnsi="仿宋" w:eastAsia="仿宋" w:cs="仿宋"/>
          <w:sz w:val="24"/>
          <w:szCs w:val="24"/>
        </w:rPr>
      </w:pPr>
    </w:p>
    <w:p>
      <w:pPr>
        <w:rPr>
          <w:rFonts w:hint="eastAsia" w:ascii="仿宋" w:hAnsi="仿宋" w:eastAsia="仿宋" w:cs="仿宋"/>
          <w:sz w:val="24"/>
          <w:szCs w:val="24"/>
        </w:rPr>
        <w:sectPr>
          <w:pgSz w:w="11906" w:h="16838"/>
          <w:pgMar w:top="1440" w:right="1800" w:bottom="1440" w:left="1800" w:header="851" w:footer="992" w:gutter="0"/>
          <w:cols w:space="425" w:num="1"/>
          <w:docGrid w:type="lines" w:linePitch="312" w:charSpace="0"/>
        </w:sectPr>
      </w:pPr>
    </w:p>
    <w:p>
      <w:pPr>
        <w:spacing w:line="300" w:lineRule="auto"/>
        <w:jc w:val="center"/>
        <w:rPr>
          <w:rFonts w:ascii="宋体"/>
          <w:b/>
          <w:sz w:val="44"/>
          <w:szCs w:val="44"/>
        </w:rPr>
      </w:pPr>
      <w:r>
        <w:rPr>
          <w:rFonts w:hint="eastAsia" w:ascii="宋体" w:hAnsi="宋体"/>
          <w:b/>
          <w:spacing w:val="4"/>
          <w:sz w:val="44"/>
          <w:szCs w:val="44"/>
        </w:rPr>
        <w:t>第二部分</w:t>
      </w:r>
      <w:r>
        <w:rPr>
          <w:rFonts w:ascii="宋体" w:hAnsi="宋体"/>
          <w:b/>
          <w:spacing w:val="4"/>
          <w:sz w:val="44"/>
          <w:szCs w:val="44"/>
        </w:rPr>
        <w:t xml:space="preserve">  </w:t>
      </w:r>
      <w:r>
        <w:rPr>
          <w:rFonts w:hint="eastAsia" w:ascii="宋体" w:hAnsi="宋体"/>
          <w:b/>
          <w:sz w:val="44"/>
          <w:szCs w:val="44"/>
        </w:rPr>
        <w:t>投标人须知</w:t>
      </w:r>
    </w:p>
    <w:p>
      <w:pPr>
        <w:adjustRightInd w:val="0"/>
        <w:ind w:firstLine="480" w:firstLineChars="200"/>
        <w:rPr>
          <w:rFonts w:hint="eastAsia" w:ascii="宋体" w:hAnsi="宋体" w:eastAsia="宋体" w:cs="宋体"/>
          <w:sz w:val="24"/>
          <w:szCs w:val="24"/>
          <w:lang w:val="en-US" w:eastAsia="zh-CN"/>
        </w:rPr>
      </w:pP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招标文件说明</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1、适用范围：本招标文件仅适用于本次投标邀请函中所述的项目。</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2、招标文件的澄清或修改：招标人对招标文件必要的澄清或修改内容须在提交投标文件的截止时间前，以书面形式通知所有已领取招标文件的投标人。澄清和修改的内容将构成招标文件的组成部分。</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、投标文件的编写</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投标人应按招标文件的要求准备投标文件，并保证所提供的全部资料的真实性、准确性及完整性，以使其报价对招标文件作出实质性响应，否则其投标有可能被评标小组否决。</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（一）投标文件的组成：</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1、资格、资质证明文件：</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（1）报价函；</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（2）企业法人营业执照的副本和复印件（加盖公章）；</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（3）税务登记证副本的复印件（加盖公章）；</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（4）中华人民共和国组织机构代码证的复印件（加盖公章）；</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（5）法定代表人授权委托书及全权代表的身份证复印件；</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（6）企业简介；</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（7）企业相关资质证书；</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（8）近</w:t>
      </w:r>
      <w:r>
        <w:rPr>
          <w:rFonts w:hint="eastAsia" w:ascii="宋体" w:hAnsi="宋体" w:eastAsia="宋体" w:cs="宋体"/>
          <w:sz w:val="24"/>
          <w:szCs w:val="24"/>
          <w:lang w:val="en-US" w:eastAsia="zh-CN"/>
        </w:rPr>
        <w:t>三</w:t>
      </w:r>
      <w:r>
        <w:rPr>
          <w:rFonts w:hint="eastAsia" w:ascii="宋体" w:hAnsi="宋体" w:eastAsia="宋体" w:cs="宋体"/>
          <w:sz w:val="24"/>
          <w:szCs w:val="24"/>
        </w:rPr>
        <w:t>年承担过类似项目的业绩及证明材料；</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环保认证、符合国家有关规定的试验报告、鉴定报告及行业其他相关资质证书（加盖公章）</w:t>
      </w:r>
      <w:r>
        <w:rPr>
          <w:rFonts w:hint="eastAsia" w:ascii="宋体" w:hAnsi="宋体" w:eastAsia="宋体" w:cs="宋体"/>
          <w:sz w:val="24"/>
          <w:szCs w:val="24"/>
        </w:rPr>
        <w:t>。</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2、报价表：</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（1）报价一览表；</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3、技术文件：</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（1）设备型号（规格）、详细配置、技术指标说明、制造地（原产地）；</w:t>
      </w:r>
    </w:p>
    <w:p>
      <w:pPr>
        <w:adjustRightInd w:val="0"/>
        <w:spacing w:line="360" w:lineRule="auto"/>
        <w:ind w:firstLine="480" w:firstLineChars="200"/>
        <w:rPr>
          <w:rFonts w:hint="eastAsia" w:ascii="宋体" w:hAnsi="宋体" w:eastAsia="宋体" w:cs="宋体"/>
          <w:color w:val="0000FF"/>
          <w:sz w:val="24"/>
          <w:szCs w:val="24"/>
        </w:rPr>
      </w:pPr>
      <w:r>
        <w:rPr>
          <w:rFonts w:hint="eastAsia" w:ascii="宋体" w:hAnsi="宋体" w:eastAsia="宋体" w:cs="宋体"/>
          <w:sz w:val="24"/>
          <w:szCs w:val="24"/>
        </w:rPr>
        <w:t>（2）所报设备的详细资料、彩图、鉴定报告等。</w:t>
      </w:r>
      <w:r>
        <w:rPr>
          <w:rFonts w:hint="eastAsia" w:ascii="宋体" w:hAnsi="宋体" w:eastAsia="宋体" w:cs="宋体"/>
          <w:color w:val="0000FF"/>
          <w:sz w:val="24"/>
          <w:szCs w:val="24"/>
        </w:rPr>
        <w:t>家具应以绿色环保的材料制造。供应商须说明家具在生产过程中，所采用的主要材质、配件的名称及制造厂家，并提供办公家具全部图纸及主要剖面图、材料分析单、五金辅料分析单、人造板用料分析单以及相应的技术说明书。</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4、质量承诺说明；</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5、设备到货日期；</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6、其他优惠承诺。</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（二）报价说明</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sz w:val="24"/>
        </w:rPr>
        <w:t>投标总价应是货物完税后的用户</w:t>
      </w:r>
      <w:r>
        <w:rPr>
          <w:rFonts w:hint="eastAsia"/>
          <w:sz w:val="24"/>
          <w:lang w:val="en-US" w:eastAsia="zh-CN"/>
        </w:rPr>
        <w:t>的</w:t>
      </w:r>
      <w:r>
        <w:rPr>
          <w:rFonts w:hint="eastAsia"/>
          <w:sz w:val="24"/>
        </w:rPr>
        <w:t>交货价，其中应包含运输、搬运、安装调试、</w:t>
      </w:r>
      <w:r>
        <w:rPr>
          <w:rFonts w:hint="eastAsia"/>
          <w:color w:val="FF0000"/>
          <w:sz w:val="24"/>
          <w:lang w:val="en-US" w:eastAsia="zh-CN"/>
        </w:rPr>
        <w:t>三年</w:t>
      </w:r>
      <w:r>
        <w:rPr>
          <w:rFonts w:hint="eastAsia"/>
          <w:color w:val="FF0000"/>
          <w:sz w:val="24"/>
        </w:rPr>
        <w:t>保修</w:t>
      </w:r>
      <w:r>
        <w:rPr>
          <w:rFonts w:hint="eastAsia"/>
          <w:sz w:val="24"/>
        </w:rPr>
        <w:t>等全部费用，以人民币报价</w:t>
      </w:r>
      <w:r>
        <w:rPr>
          <w:rFonts w:hint="eastAsia" w:ascii="宋体" w:hAnsi="宋体" w:eastAsia="宋体" w:cs="宋体"/>
          <w:sz w:val="24"/>
          <w:szCs w:val="24"/>
        </w:rPr>
        <w:t>；</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2、报价币种为人民币；</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3、本次招标没有再次报价的机会；</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4、如果报价一览表大写金额与小写金额不一致，以大写金额为准；</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5、投标人应提供分项单价和总价，如果单价与总价不符，以单价为准，但单价金额小数点有明显错误的除外；</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6、投标人免费提供的项目应先填写该项目的实际价格并注明免费，此项不计入总价或合计价。</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（三）投标文件的密封和标记</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1、投标人应准备六份投标文件，一份正本和五份副本。在每一份投标文件上要明确注明“正本”或“副本”字样。一旦正本和副本有差异，以正本为准。</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投标人应将投标文件用封套加以密封，在封口处粘贴密封条，盖骑缝公章，并在封套上标明：</w:t>
      </w:r>
    </w:p>
    <w:p>
      <w:pPr>
        <w:spacing w:line="360" w:lineRule="auto"/>
        <w:ind w:firstLine="960" w:firstLineChars="400"/>
        <w:rPr>
          <w:rFonts w:hint="eastAsia" w:ascii="宋体" w:hAnsi="宋体" w:eastAsia="宋体" w:cs="宋体"/>
          <w:sz w:val="24"/>
          <w:szCs w:val="24"/>
          <w:lang w:eastAsia="zh-CN"/>
        </w:rPr>
      </w:pPr>
      <w:r>
        <w:rPr>
          <w:rFonts w:hint="eastAsia" w:ascii="宋体" w:hAnsi="宋体" w:eastAsia="宋体" w:cs="宋体"/>
          <w:sz w:val="24"/>
          <w:szCs w:val="24"/>
        </w:rPr>
        <w:t>（1）收件人：</w:t>
      </w:r>
      <w:r>
        <w:rPr>
          <w:rFonts w:hint="eastAsia" w:ascii="宋体" w:hAnsi="宋体" w:eastAsia="宋体" w:cs="宋体"/>
          <w:sz w:val="24"/>
          <w:szCs w:val="24"/>
          <w:lang w:eastAsia="zh-CN"/>
        </w:rPr>
        <w:t>南通理工学院</w:t>
      </w:r>
      <w:r>
        <w:rPr>
          <w:rFonts w:hint="eastAsia" w:ascii="宋体" w:hAnsi="宋体" w:eastAsia="宋体" w:cs="宋体"/>
          <w:sz w:val="24"/>
          <w:szCs w:val="24"/>
        </w:rPr>
        <w:t>资产与</w:t>
      </w:r>
      <w:r>
        <w:rPr>
          <w:rFonts w:hint="eastAsia" w:ascii="宋体" w:hAnsi="宋体" w:eastAsia="宋体" w:cs="宋体"/>
          <w:sz w:val="24"/>
          <w:szCs w:val="24"/>
          <w:lang w:val="en-US" w:eastAsia="zh-CN"/>
        </w:rPr>
        <w:t>基建处</w:t>
      </w:r>
    </w:p>
    <w:p>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（2）招标项目编号：</w:t>
      </w:r>
      <w:r>
        <w:rPr>
          <w:rFonts w:hint="eastAsia" w:ascii="宋体" w:hAnsi="宋体" w:eastAsia="宋体" w:cs="宋体"/>
          <w:sz w:val="24"/>
          <w:szCs w:val="24"/>
          <w:u w:val="single"/>
        </w:rPr>
        <w:t xml:space="preserve">                                </w:t>
      </w:r>
    </w:p>
    <w:p>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（3）招标项目名称：</w:t>
      </w:r>
      <w:r>
        <w:rPr>
          <w:rFonts w:hint="eastAsia" w:ascii="宋体" w:hAnsi="宋体" w:eastAsia="宋体" w:cs="宋体"/>
          <w:sz w:val="24"/>
          <w:szCs w:val="24"/>
          <w:u w:val="single"/>
        </w:rPr>
        <w:t xml:space="preserve">                                </w:t>
      </w:r>
    </w:p>
    <w:p>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 xml:space="preserve">（4）投标人名称： </w:t>
      </w:r>
      <w:r>
        <w:rPr>
          <w:rFonts w:hint="eastAsia" w:ascii="宋体" w:hAnsi="宋体" w:eastAsia="宋体" w:cs="宋体"/>
          <w:sz w:val="24"/>
          <w:szCs w:val="24"/>
          <w:u w:val="single"/>
        </w:rPr>
        <w:t xml:space="preserve">                                 </w:t>
      </w:r>
    </w:p>
    <w:p>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（5）联系电话（手机）：</w:t>
      </w:r>
      <w:r>
        <w:rPr>
          <w:rFonts w:hint="eastAsia" w:ascii="宋体" w:hAnsi="宋体" w:eastAsia="宋体" w:cs="宋体"/>
          <w:sz w:val="24"/>
          <w:szCs w:val="24"/>
          <w:u w:val="single"/>
        </w:rPr>
        <w:t xml:space="preserve">                             </w:t>
      </w:r>
    </w:p>
    <w:p>
      <w:pPr>
        <w:spacing w:line="360" w:lineRule="auto"/>
        <w:ind w:firstLine="960" w:firstLineChars="400"/>
        <w:rPr>
          <w:rFonts w:hint="eastAsia" w:ascii="宋体" w:hAnsi="宋体" w:eastAsia="宋体" w:cs="宋体"/>
          <w:b/>
          <w:sz w:val="24"/>
          <w:szCs w:val="24"/>
        </w:rPr>
      </w:pPr>
      <w:r>
        <w:rPr>
          <w:rFonts w:hint="eastAsia" w:ascii="宋体" w:hAnsi="宋体" w:eastAsia="宋体" w:cs="宋体"/>
          <w:sz w:val="24"/>
          <w:szCs w:val="24"/>
        </w:rPr>
        <w:t>（6）开标之前不得启封</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没有按上述规定密封和标记的投标文件，招标人将不承担投标文件错放或提前开启的责任。</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、合格的投标人</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应为具有独立法人资格的生产厂家或其直接委托的代理商。投标人所提交的投标文件中应包括下列资料：有关证明投标人法律地位的原始文件副本【包括企业法人营业执照、法定代表人授权委托书、代理商的生产厂家授权委托书等】；合格的投标产品应该是中国境内生产的或者经中国海关完税的可合法销售的产品。若投标产品属于国家实行许可证制度或生产注册证制度的产品，则应具备相应有效的证书。</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2、提供的资格、资质证明文件真实有效；</w:t>
      </w:r>
    </w:p>
    <w:p>
      <w:pPr>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3、在以往的投标活动中没有违规、违纪、违约等不良行为；</w:t>
      </w:r>
    </w:p>
    <w:p>
      <w:pPr>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4、遵守《中华人民共和国招标投标法》及其他有关的法律、法规和规定。</w:t>
      </w:r>
    </w:p>
    <w:p>
      <w:pPr>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5、投标人应承担投标及履约中应承担的全部责任与义务。</w:t>
      </w:r>
    </w:p>
    <w:p>
      <w:pPr>
        <w:pStyle w:val="2"/>
        <w:keepNext w:val="0"/>
        <w:keepLines w:val="0"/>
        <w:pageBreakBefore w:val="0"/>
        <w:widowControl w:val="0"/>
        <w:kinsoku/>
        <w:wordWrap/>
        <w:overflowPunct/>
        <w:topLinePunct w:val="0"/>
        <w:autoSpaceDE/>
        <w:autoSpaceDN/>
        <w:bidi w:val="0"/>
        <w:adjustRightInd/>
        <w:snapToGrid/>
        <w:spacing w:before="0" w:beforeAutospacing="0" w:after="0" w:line="274" w:lineRule="auto"/>
        <w:ind w:left="0" w:leftChars="0" w:firstLine="480" w:firstLineChars="200"/>
        <w:textAlignment w:val="auto"/>
        <w:rPr>
          <w:rFonts w:hint="default" w:eastAsia="宋体"/>
          <w:color w:val="0000FF"/>
          <w:lang w:val="en-US" w:eastAsia="zh-CN"/>
        </w:rPr>
      </w:pPr>
      <w:r>
        <w:rPr>
          <w:rFonts w:hint="eastAsia" w:ascii="宋体" w:hAnsi="宋体" w:eastAsia="宋体" w:cs="宋体"/>
          <w:color w:val="0000FF"/>
          <w:sz w:val="24"/>
          <w:szCs w:val="24"/>
          <w:lang w:val="en-US" w:eastAsia="zh-CN"/>
        </w:rPr>
        <w:t>6、不得进行转包或分包</w:t>
      </w:r>
      <w:r>
        <w:rPr>
          <w:rFonts w:hint="eastAsia" w:ascii="宋体" w:hAnsi="宋体" w:cs="宋体"/>
          <w:color w:val="0000FF"/>
          <w:sz w:val="24"/>
          <w:szCs w:val="24"/>
          <w:lang w:val="en-US" w:eastAsia="zh-CN"/>
        </w:rPr>
        <w:t>。</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、无效报价</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（一）投标人有下列情况之一，其投标被视为无效投标；</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1、投标人提供的投标文件不完整；</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2、投标文件未按招标文件的规定签署；</w:t>
      </w:r>
    </w:p>
    <w:p>
      <w:pPr>
        <w:pStyle w:val="2"/>
        <w:keepNext w:val="0"/>
        <w:keepLines w:val="0"/>
        <w:pageBreakBefore w:val="0"/>
        <w:widowControl w:val="0"/>
        <w:kinsoku/>
        <w:wordWrap/>
        <w:overflowPunct/>
        <w:topLinePunct w:val="0"/>
        <w:autoSpaceDE/>
        <w:autoSpaceDN/>
        <w:bidi w:val="0"/>
        <w:snapToGrid/>
        <w:spacing w:before="0" w:beforeAutospacing="0" w:after="0"/>
        <w:ind w:left="0" w:leftChars="0"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投标报价不合理明显低于成本的</w:t>
      </w:r>
      <w:r>
        <w:rPr>
          <w:rFonts w:hint="eastAsia" w:ascii="宋体" w:hAnsi="宋体" w:eastAsia="宋体" w:cs="宋体"/>
          <w:sz w:val="24"/>
          <w:lang w:eastAsia="zh-CN"/>
        </w:rPr>
        <w:t>；</w:t>
      </w:r>
    </w:p>
    <w:p>
      <w:pPr>
        <w:pStyle w:val="2"/>
        <w:keepNext w:val="0"/>
        <w:keepLines w:val="0"/>
        <w:pageBreakBefore w:val="0"/>
        <w:widowControl w:val="0"/>
        <w:kinsoku/>
        <w:wordWrap/>
        <w:overflowPunct/>
        <w:topLinePunct w:val="0"/>
        <w:autoSpaceDE/>
        <w:autoSpaceDN/>
        <w:bidi w:val="0"/>
        <w:snapToGrid/>
        <w:spacing w:before="0" w:beforeAutospacing="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lang w:val="en-US" w:eastAsia="zh-CN"/>
        </w:rPr>
        <w:t>4、</w:t>
      </w:r>
      <w:r>
        <w:rPr>
          <w:rFonts w:hint="eastAsia"/>
          <w:sz w:val="24"/>
        </w:rPr>
        <w:t>重要技术指标和参数不满足招标要求的；</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、法律、法规规定的其他情况。</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（二）投标人有下列情况之一，其投标文件不仅被视为无效而且招标人将严格按照《政府采购法》及相关法律、法规的规定行使权利。投标人给招标人造成损失的，应予以赔偿。</w:t>
      </w:r>
    </w:p>
    <w:p>
      <w:pPr>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1、投标人提供的有关资格、资质证明文件不真实，提供虚假投标材料的；</w:t>
      </w:r>
    </w:p>
    <w:p>
      <w:pPr>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2、投标人串通报价的；</w:t>
      </w:r>
    </w:p>
    <w:p>
      <w:pPr>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3、投标人向评标小组成员提供不正当利益的；</w:t>
      </w:r>
    </w:p>
    <w:p>
      <w:pPr>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4、法律、法规规定的其他情况。</w:t>
      </w:r>
    </w:p>
    <w:p>
      <w:pPr>
        <w:adjustRightInd w:val="0"/>
        <w:spacing w:line="360" w:lineRule="auto"/>
        <w:ind w:firstLine="482" w:firstLineChars="200"/>
        <w:jc w:val="both"/>
        <w:rPr>
          <w:rFonts w:ascii="宋体" w:hAnsi="宋体"/>
          <w:b/>
          <w:sz w:val="24"/>
          <w:szCs w:val="24"/>
        </w:rPr>
      </w:pPr>
      <w:r>
        <w:rPr>
          <w:rFonts w:hint="eastAsia" w:ascii="宋体" w:hAnsi="宋体"/>
          <w:b/>
          <w:sz w:val="24"/>
          <w:szCs w:val="24"/>
          <w:lang w:val="en-US" w:eastAsia="zh-CN"/>
        </w:rPr>
        <w:t>五、</w:t>
      </w:r>
      <w:r>
        <w:rPr>
          <w:rFonts w:hint="eastAsia" w:ascii="宋体" w:hAnsi="宋体"/>
          <w:b/>
          <w:sz w:val="24"/>
          <w:szCs w:val="24"/>
        </w:rPr>
        <w:t>付款方式</w:t>
      </w:r>
      <w:r>
        <w:rPr>
          <w:rFonts w:hint="eastAsia" w:ascii="宋体" w:hAnsi="宋体"/>
          <w:b/>
          <w:sz w:val="24"/>
          <w:szCs w:val="24"/>
          <w:lang w:val="en-US" w:eastAsia="zh-CN"/>
        </w:rPr>
        <w:t>及相关</w:t>
      </w:r>
      <w:r>
        <w:rPr>
          <w:rFonts w:hint="eastAsia" w:ascii="宋体" w:hAnsi="宋体"/>
          <w:b/>
          <w:sz w:val="24"/>
          <w:szCs w:val="24"/>
        </w:rPr>
        <w:t>说明</w:t>
      </w:r>
    </w:p>
    <w:p>
      <w:pPr>
        <w:adjustRightIn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安装调试完成后，</w:t>
      </w:r>
      <w:r>
        <w:rPr>
          <w:rFonts w:hint="eastAsia" w:ascii="宋体" w:hAnsi="宋体" w:eastAsia="宋体" w:cs="宋体"/>
          <w:sz w:val="24"/>
          <w:szCs w:val="24"/>
          <w:lang w:val="en-US" w:eastAsia="zh-CN"/>
        </w:rPr>
        <w:t>一个月内进行验收，</w:t>
      </w:r>
      <w:r>
        <w:rPr>
          <w:rFonts w:hint="eastAsia" w:ascii="宋体" w:hAnsi="宋体" w:eastAsia="宋体" w:cs="宋体"/>
          <w:sz w:val="24"/>
          <w:szCs w:val="24"/>
        </w:rPr>
        <w:t>验收合格</w:t>
      </w:r>
      <w:r>
        <w:rPr>
          <w:rFonts w:hint="eastAsia" w:ascii="宋体" w:hAnsi="宋体" w:eastAsia="宋体" w:cs="宋体"/>
          <w:sz w:val="24"/>
          <w:szCs w:val="24"/>
          <w:lang w:val="en-US" w:eastAsia="zh-CN"/>
        </w:rPr>
        <w:t>三个月后付至90%</w:t>
      </w:r>
      <w:r>
        <w:rPr>
          <w:rFonts w:hint="eastAsia" w:ascii="宋体" w:hAnsi="宋体" w:eastAsia="宋体" w:cs="宋体"/>
          <w:sz w:val="24"/>
          <w:szCs w:val="24"/>
        </w:rPr>
        <w:t>，保修期限过后将剩余</w:t>
      </w:r>
      <w:r>
        <w:rPr>
          <w:rFonts w:hint="eastAsia" w:ascii="宋体" w:hAnsi="宋体" w:eastAsia="宋体" w:cs="宋体"/>
          <w:sz w:val="24"/>
          <w:szCs w:val="24"/>
          <w:lang w:val="en-US" w:eastAsia="zh-CN"/>
        </w:rPr>
        <w:t>10</w:t>
      </w:r>
      <w:r>
        <w:rPr>
          <w:rFonts w:hint="eastAsia" w:ascii="宋体" w:hAnsi="宋体" w:eastAsia="宋体" w:cs="宋体"/>
          <w:sz w:val="24"/>
          <w:szCs w:val="24"/>
        </w:rPr>
        <w:t>%付清</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对提供的产品免费保修期（质保期）为</w:t>
      </w:r>
      <w:r>
        <w:rPr>
          <w:rFonts w:hint="eastAsia" w:ascii="宋体" w:hAnsi="宋体" w:eastAsia="宋体" w:cs="宋体"/>
          <w:sz w:val="24"/>
          <w:szCs w:val="24"/>
          <w:lang w:eastAsia="zh-CN"/>
        </w:rPr>
        <w:t>三年</w:t>
      </w:r>
      <w:r>
        <w:rPr>
          <w:rFonts w:hint="eastAsia" w:ascii="宋体" w:hAnsi="宋体" w:eastAsia="宋体" w:cs="宋体"/>
          <w:sz w:val="24"/>
          <w:szCs w:val="24"/>
        </w:rPr>
        <w:t>，终身维护，质保期内每年按投标文件的承诺巡检次数进行巡检。保修期满，按投标方承诺方案回访。保修期从项目验收合格之日起开始计算。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kern w:val="2"/>
          <w:sz w:val="24"/>
          <w:szCs w:val="24"/>
          <w:lang w:val="en-US" w:eastAsia="zh-CN" w:bidi="ar-SA"/>
        </w:rPr>
        <w:t>3、检验与测试：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kern w:val="2"/>
          <w:sz w:val="24"/>
          <w:szCs w:val="24"/>
          <w:lang w:val="en-US" w:eastAsia="zh-CN" w:bidi="ar-SA"/>
        </w:rPr>
        <w:t>采购人有权对产品进行发货前的检测，但不作为验收。供应商应为采购人对产品检测提供方便。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kern w:val="2"/>
          <w:sz w:val="24"/>
          <w:szCs w:val="24"/>
          <w:lang w:val="en-US" w:eastAsia="zh-CN" w:bidi="ar-SA"/>
        </w:rPr>
        <w:t>货物入场后，由采购人与供货商协商共同</w:t>
      </w:r>
      <w:bookmarkStart w:id="8" w:name="_GoBack"/>
      <w:bookmarkEnd w:id="8"/>
      <w:r>
        <w:rPr>
          <w:rFonts w:hint="eastAsia" w:ascii="宋体" w:hAnsi="宋体" w:eastAsia="宋体" w:cs="宋体"/>
          <w:color w:val="0000FF"/>
          <w:kern w:val="2"/>
          <w:sz w:val="24"/>
          <w:szCs w:val="24"/>
          <w:lang w:val="en-US" w:eastAsia="zh-CN" w:bidi="ar-SA"/>
        </w:rPr>
        <w:t>与当地相关部门协调，对产品进行检验检测，其费用由供应商负担，包含在总报价中。经检验如发现有质量达不到要求的，供货商应无条件退换，同时承担由此产生的一切后果。</w:t>
      </w:r>
    </w:p>
    <w:p>
      <w:pPr>
        <w:numPr>
          <w:ilvl w:val="0"/>
          <w:numId w:val="1"/>
        </w:numPr>
        <w:adjustRightInd w:val="0"/>
        <w:spacing w:line="360" w:lineRule="auto"/>
        <w:ind w:firstLine="562" w:firstLineChars="200"/>
        <w:jc w:val="center"/>
        <w:rPr>
          <w:rFonts w:hint="eastAsia" w:ascii="宋体" w:hAnsi="宋体"/>
          <w:b/>
          <w:sz w:val="28"/>
          <w:szCs w:val="28"/>
          <w:lang w:val="en-US" w:eastAsia="zh-CN"/>
        </w:rPr>
      </w:pPr>
      <w:r>
        <w:rPr>
          <w:rFonts w:hint="eastAsia" w:ascii="宋体" w:hAnsi="宋体"/>
          <w:b/>
          <w:sz w:val="28"/>
          <w:szCs w:val="28"/>
          <w:lang w:val="en-US" w:eastAsia="zh-CN"/>
        </w:rPr>
        <w:t>具体设备清单及技术要求</w:t>
      </w:r>
    </w:p>
    <w:p>
      <w:pPr>
        <w:pStyle w:val="2"/>
        <w:rPr>
          <w:rFonts w:hint="default"/>
          <w:lang w:val="en-US" w:eastAsia="zh-CN"/>
        </w:rPr>
      </w:pPr>
      <w:r>
        <w:drawing>
          <wp:inline distT="0" distB="0" distL="114300" distR="114300">
            <wp:extent cx="3957955" cy="3940810"/>
            <wp:effectExtent l="0" t="0" r="4445" b="254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7"/>
                    <a:stretch>
                      <a:fillRect/>
                    </a:stretch>
                  </pic:blipFill>
                  <pic:spPr>
                    <a:xfrm>
                      <a:off x="0" y="0"/>
                      <a:ext cx="3957955" cy="3940810"/>
                    </a:xfrm>
                    <a:prstGeom prst="rect">
                      <a:avLst/>
                    </a:prstGeom>
                    <a:noFill/>
                    <a:ln>
                      <a:noFill/>
                    </a:ln>
                  </pic:spPr>
                </pic:pic>
              </a:graphicData>
            </a:graphic>
          </wp:inline>
        </w:drawing>
      </w: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2"/>
        </w:numPr>
        <w:ind w:left="1040" w:leftChars="0" w:firstLine="220" w:firstLineChars="0"/>
        <w:rPr>
          <w:rFonts w:hint="eastAsia"/>
          <w:lang w:val="en-US" w:eastAsia="zh-CN"/>
        </w:rPr>
      </w:pPr>
      <w:r>
        <w:rPr>
          <w:rFonts w:hint="eastAsia"/>
          <w:lang w:val="en-US" w:eastAsia="zh-CN"/>
        </w:rPr>
        <w:t>展柜：1600x800x2430mm（带玻璃门4张）</w:t>
      </w:r>
    </w:p>
    <w:p>
      <w:pPr>
        <w:pStyle w:val="2"/>
        <w:numPr>
          <w:ilvl w:val="0"/>
          <w:numId w:val="0"/>
        </w:numPr>
        <w:ind w:left="1260" w:leftChars="0" w:firstLine="1100" w:firstLineChars="500"/>
        <w:rPr>
          <w:rFonts w:hint="eastAsia"/>
          <w:lang w:val="en-US" w:eastAsia="zh-CN"/>
        </w:rPr>
      </w:pPr>
      <w:r>
        <w:rPr>
          <w:rFonts w:hint="eastAsia"/>
          <w:lang w:val="en-US" w:eastAsia="zh-CN"/>
        </w:rPr>
        <w:t>1600x800x2430mm（不带玻璃门4张）</w:t>
      </w:r>
    </w:p>
    <w:p>
      <w:pPr>
        <w:pStyle w:val="2"/>
        <w:numPr>
          <w:ilvl w:val="0"/>
          <w:numId w:val="0"/>
        </w:numPr>
        <w:ind w:left="1260" w:leftChars="0" w:firstLine="1100" w:firstLineChars="500"/>
        <w:rPr>
          <w:rFonts w:hint="eastAsia"/>
          <w:lang w:val="en-US" w:eastAsia="zh-CN"/>
        </w:rPr>
      </w:pPr>
      <w:r>
        <w:rPr>
          <w:rFonts w:hint="eastAsia"/>
          <w:lang w:val="en-US" w:eastAsia="zh-CN"/>
        </w:rPr>
        <w:t>1600x600x2430mm（不带玻璃门3张）</w:t>
      </w:r>
    </w:p>
    <w:p>
      <w:pPr>
        <w:numPr>
          <w:ilvl w:val="0"/>
          <w:numId w:val="0"/>
        </w:numPr>
        <w:ind w:leftChars="0" w:firstLine="420" w:firstLineChars="200"/>
        <w:rPr>
          <w:rFonts w:hint="eastAsia"/>
          <w:lang w:val="en-US" w:eastAsia="zh-CN"/>
        </w:rPr>
      </w:pPr>
      <w:r>
        <w:rPr>
          <w:rFonts w:hint="eastAsia"/>
          <w:lang w:val="en-US" w:eastAsia="zh-CN"/>
        </w:rPr>
        <w:t xml:space="preserve">1、基材：泰国进口优质橡胶木，经防虫、防腐等化学处理， 木材含水率＜10%，甲醛释放量＜1.4mg/L，可溶性铅＜9mg/kg，抗弯力强，不易变形，环保无毒。                            </w:t>
      </w:r>
    </w:p>
    <w:p>
      <w:pPr>
        <w:numPr>
          <w:ilvl w:val="0"/>
          <w:numId w:val="0"/>
        </w:numPr>
        <w:ind w:leftChars="0"/>
        <w:rPr>
          <w:rFonts w:hint="eastAsia"/>
          <w:lang w:val="en-US" w:eastAsia="zh-CN"/>
        </w:rPr>
      </w:pPr>
      <w:r>
        <w:rPr>
          <w:rFonts w:hint="eastAsia"/>
          <w:lang w:val="en-US" w:eastAsia="zh-CN"/>
        </w:rPr>
        <w:t xml:space="preserve">    2、柜门板厚度2.5cm，柜体板厚度1.8cm，背板厚度0.5cm， 上方木框架玻璃门，下方小门为实木门，门板及四周边采用中式线条装饰工艺框精雕细琢，使家具更具质感和美观。  </w:t>
      </w:r>
    </w:p>
    <w:p>
      <w:pPr>
        <w:numPr>
          <w:ilvl w:val="0"/>
          <w:numId w:val="0"/>
        </w:numPr>
        <w:ind w:leftChars="0" w:firstLine="420" w:firstLineChars="200"/>
        <w:rPr>
          <w:rFonts w:hint="eastAsia"/>
          <w:lang w:val="en-US" w:eastAsia="zh-CN"/>
        </w:rPr>
      </w:pPr>
      <w:r>
        <w:rPr>
          <w:rFonts w:hint="eastAsia"/>
          <w:lang w:val="en-US" w:eastAsia="zh-CN"/>
        </w:rPr>
        <w:t xml:space="preserve">3、油漆：采用环保底漆、面漆饰面，高聚酯环保油漆，经七底五面工艺，成品油漆表面硬度可达3H级，面漆耐磨度、硬度、耐酸均高于国家标准，漆面透明度好，色泽均匀、木纹纹理清晰，光滑耐磨、手感好；               </w:t>
      </w:r>
    </w:p>
    <w:p>
      <w:pPr>
        <w:ind w:firstLine="420" w:firstLineChars="200"/>
        <w:rPr>
          <w:rFonts w:hint="eastAsia"/>
          <w:lang w:val="en-US" w:eastAsia="zh-CN"/>
        </w:rPr>
      </w:pPr>
      <w:r>
        <w:rPr>
          <w:rFonts w:hint="eastAsia"/>
          <w:lang w:val="en-US" w:eastAsia="zh-CN"/>
        </w:rPr>
        <w:t xml:space="preserve">4、粘合剂：优质环保粘合剂，粘贴性强，同时具有耐水、耐热、耐酸、耐有机溶剂、韧好特性。游离甲醛＜0.3g/kg，优于国家标准。                                                                       </w:t>
      </w:r>
    </w:p>
    <w:p>
      <w:pPr>
        <w:rPr>
          <w:rFonts w:hint="eastAsia"/>
          <w:lang w:val="en-US" w:eastAsia="zh-CN"/>
        </w:rPr>
      </w:pPr>
      <w:r>
        <w:rPr>
          <w:rFonts w:hint="eastAsia"/>
          <w:lang w:val="en-US" w:eastAsia="zh-CN"/>
        </w:rPr>
        <w:t xml:space="preserve">    5、五金配件：采用优质五金配件，导轨选用优质三节导轨，静音，承重性强，连续开合50000次仍能正常使用；锁选用进口品牌正面锁，经过耐盐浴检测无锈蚀、痕迹等现象。</w:t>
      </w:r>
    </w:p>
    <w:p>
      <w:pPr>
        <w:pStyle w:val="2"/>
        <w:numPr>
          <w:ilvl w:val="0"/>
          <w:numId w:val="0"/>
        </w:numPr>
        <w:ind w:leftChars="100"/>
      </w:pPr>
      <w:r>
        <w:drawing>
          <wp:inline distT="0" distB="0" distL="114300" distR="114300">
            <wp:extent cx="4481830" cy="2560955"/>
            <wp:effectExtent l="0" t="0" r="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8">
                      <a:clrChange>
                        <a:clrFrom>
                          <a:srgbClr val="000000">
                            <a:alpha val="100000"/>
                          </a:srgbClr>
                        </a:clrFrom>
                        <a:clrTo>
                          <a:srgbClr val="000000">
                            <a:alpha val="100000"/>
                            <a:alpha val="0"/>
                          </a:srgbClr>
                        </a:clrTo>
                      </a:clrChange>
                    </a:blip>
                    <a:stretch>
                      <a:fillRect/>
                    </a:stretch>
                  </pic:blipFill>
                  <pic:spPr>
                    <a:xfrm>
                      <a:off x="0" y="0"/>
                      <a:ext cx="4481830" cy="2560955"/>
                    </a:xfrm>
                    <a:prstGeom prst="rect">
                      <a:avLst/>
                    </a:prstGeom>
                    <a:noFill/>
                    <a:ln>
                      <a:noFill/>
                    </a:ln>
                  </pic:spPr>
                </pic:pic>
              </a:graphicData>
            </a:graphic>
          </wp:inline>
        </w:drawing>
      </w:r>
    </w:p>
    <w:p>
      <w:pPr>
        <w:pStyle w:val="2"/>
        <w:numPr>
          <w:ilvl w:val="0"/>
          <w:numId w:val="0"/>
        </w:numPr>
        <w:ind w:leftChars="100"/>
        <w:rPr>
          <w:rFonts w:hint="eastAsia"/>
          <w:lang w:val="en-US" w:eastAsia="zh-CN"/>
        </w:rPr>
      </w:pPr>
      <w:r>
        <w:drawing>
          <wp:inline distT="0" distB="0" distL="114300" distR="114300">
            <wp:extent cx="4966335" cy="2818130"/>
            <wp:effectExtent l="0" t="0" r="0" b="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9">
                      <a:clrChange>
                        <a:clrFrom>
                          <a:srgbClr val="000000">
                            <a:alpha val="100000"/>
                          </a:srgbClr>
                        </a:clrFrom>
                        <a:clrTo>
                          <a:srgbClr val="000000">
                            <a:alpha val="100000"/>
                            <a:alpha val="0"/>
                          </a:srgbClr>
                        </a:clrTo>
                      </a:clrChange>
                    </a:blip>
                    <a:stretch>
                      <a:fillRect/>
                    </a:stretch>
                  </pic:blipFill>
                  <pic:spPr>
                    <a:xfrm>
                      <a:off x="0" y="0"/>
                      <a:ext cx="4966335" cy="2818130"/>
                    </a:xfrm>
                    <a:prstGeom prst="rect">
                      <a:avLst/>
                    </a:prstGeom>
                    <a:noFill/>
                    <a:ln>
                      <a:noFill/>
                    </a:ln>
                  </pic:spPr>
                </pic:pic>
              </a:graphicData>
            </a:graphic>
          </wp:inline>
        </w:drawing>
      </w:r>
    </w:p>
    <w:p>
      <w:pPr>
        <w:pStyle w:val="2"/>
        <w:rPr>
          <w:rFonts w:hint="eastAsia"/>
          <w:lang w:val="en-US" w:eastAsia="zh-CN"/>
        </w:rPr>
      </w:pPr>
    </w:p>
    <w:p>
      <w:pPr>
        <w:pStyle w:val="2"/>
        <w:ind w:left="0" w:leftChars="0" w:firstLine="440" w:firstLineChars="200"/>
        <w:rPr>
          <w:rFonts w:hint="eastAsia"/>
          <w:lang w:val="en-US" w:eastAsia="zh-CN"/>
        </w:rPr>
      </w:pPr>
      <w:r>
        <w:rPr>
          <w:rFonts w:hint="eastAsia"/>
          <w:lang w:val="en-US" w:eastAsia="zh-CN"/>
        </w:rPr>
        <w:t>二、矮柜：1200x600x1430mm（8个）</w:t>
      </w:r>
    </w:p>
    <w:p>
      <w:pPr>
        <w:ind w:firstLine="420" w:firstLineChars="200"/>
        <w:jc w:val="left"/>
        <w:rPr>
          <w:rFonts w:hint="eastAsia"/>
          <w:lang w:val="en-US" w:eastAsia="zh-CN"/>
        </w:rPr>
      </w:pPr>
      <w:r>
        <w:rPr>
          <w:rFonts w:hint="eastAsia"/>
          <w:lang w:val="en-US" w:eastAsia="zh-CN"/>
        </w:rPr>
        <w:t xml:space="preserve">1、基材：泰国进口优质橡胶木，经防虫、防腐等化学处理， 木材含水率＜10%，甲醛释放量＜1.4mg/L，可溶性铅＜9mg/kg，抗弯力强，不易变形，环保无毒。  </w:t>
      </w:r>
    </w:p>
    <w:p>
      <w:pPr>
        <w:ind w:firstLine="420" w:firstLineChars="200"/>
        <w:jc w:val="left"/>
        <w:rPr>
          <w:rFonts w:hint="eastAsia"/>
          <w:color w:val="auto"/>
          <w:lang w:val="en-US" w:eastAsia="zh-CN"/>
        </w:rPr>
      </w:pPr>
      <w:r>
        <w:rPr>
          <w:rFonts w:hint="eastAsia"/>
          <w:color w:val="auto"/>
          <w:lang w:val="en-US" w:eastAsia="zh-CN"/>
        </w:rPr>
        <w:t xml:space="preserve">2、柜门板厚度2.5cm，柜体板厚度1.8cm，背板厚度0.5cm，门板及四周边采用中式线条装饰工艺框精雕细琢，使家具更具质感和美观。  </w:t>
      </w:r>
    </w:p>
    <w:p>
      <w:pPr>
        <w:ind w:firstLine="420" w:firstLineChars="200"/>
        <w:rPr>
          <w:rFonts w:hint="eastAsia"/>
          <w:lang w:val="en-US" w:eastAsia="zh-CN"/>
        </w:rPr>
      </w:pPr>
      <w:r>
        <w:rPr>
          <w:rFonts w:hint="eastAsia"/>
          <w:lang w:val="en-US" w:eastAsia="zh-CN"/>
        </w:rPr>
        <w:t xml:space="preserve">3、油漆：采用环保底漆、面漆饰面，高聚酯环保油漆，经七底五面工艺，成品油漆表面硬度可达3H级，面漆耐磨度、硬度、耐酸均高于国家标准，漆面透明度好，色泽均匀、木纹纹理清晰，光滑耐磨、手感好；               </w:t>
      </w:r>
    </w:p>
    <w:p>
      <w:pPr>
        <w:ind w:firstLine="420" w:firstLineChars="200"/>
        <w:rPr>
          <w:rFonts w:hint="eastAsia"/>
          <w:lang w:val="en-US" w:eastAsia="zh-CN"/>
        </w:rPr>
      </w:pPr>
      <w:r>
        <w:rPr>
          <w:rFonts w:hint="eastAsia"/>
          <w:lang w:val="en-US" w:eastAsia="zh-CN"/>
        </w:rPr>
        <w:t xml:space="preserve">4、粘合剂：优质环保粘合剂，粘贴性强，同时具有耐水、耐热、耐酸、耐有机溶剂、韧好特性。游离甲醛＜0.3g/kg，优于国家标准。                                                                       </w:t>
      </w:r>
    </w:p>
    <w:p>
      <w:pPr>
        <w:rPr>
          <w:rFonts w:hint="eastAsia"/>
          <w:lang w:val="en-US" w:eastAsia="zh-CN"/>
        </w:rPr>
      </w:pPr>
      <w:r>
        <w:rPr>
          <w:rFonts w:hint="eastAsia"/>
          <w:lang w:val="en-US" w:eastAsia="zh-CN"/>
        </w:rPr>
        <w:t xml:space="preserve">    5、五金配件：采用优质五金配件，导轨选用优质三节导轨，静音，承重性强，连续开合50000次仍能正常使用；锁选用进口品牌正面锁，经过耐盐浴检测无锈蚀、痕迹等现象。</w:t>
      </w:r>
    </w:p>
    <w:p>
      <w:pPr>
        <w:pStyle w:val="2"/>
        <w:rPr>
          <w:rFonts w:hint="eastAsia"/>
          <w:lang w:val="en-US" w:eastAsia="zh-CN"/>
        </w:rPr>
      </w:pPr>
      <w:r>
        <w:drawing>
          <wp:inline distT="0" distB="0" distL="114300" distR="114300">
            <wp:extent cx="4158615" cy="2712720"/>
            <wp:effectExtent l="0" t="0" r="3810" b="1905"/>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10"/>
                    <a:stretch>
                      <a:fillRect/>
                    </a:stretch>
                  </pic:blipFill>
                  <pic:spPr>
                    <a:xfrm>
                      <a:off x="0" y="0"/>
                      <a:ext cx="4158615" cy="2712720"/>
                    </a:xfrm>
                    <a:prstGeom prst="rect">
                      <a:avLst/>
                    </a:prstGeom>
                    <a:noFill/>
                    <a:ln>
                      <a:noFill/>
                    </a:ln>
                  </pic:spPr>
                </pic:pic>
              </a:graphicData>
            </a:graphic>
          </wp:inline>
        </w:drawing>
      </w:r>
    </w:p>
    <w:p>
      <w:pPr>
        <w:jc w:val="left"/>
        <w:rPr>
          <w:rFonts w:hint="eastAsia"/>
          <w:lang w:val="en-US" w:eastAsia="zh-CN"/>
        </w:rPr>
      </w:pPr>
    </w:p>
    <w:p>
      <w:pPr>
        <w:ind w:firstLine="420" w:firstLineChars="200"/>
        <w:jc w:val="left"/>
        <w:rPr>
          <w:rFonts w:hint="eastAsia"/>
          <w:lang w:val="en-US" w:eastAsia="zh-CN"/>
        </w:rPr>
      </w:pPr>
      <w:r>
        <w:rPr>
          <w:rFonts w:hint="eastAsia"/>
          <w:lang w:val="en-US" w:eastAsia="zh-CN"/>
        </w:rPr>
        <w:t>三、展台：2200x1000x770mm</w:t>
      </w:r>
    </w:p>
    <w:p>
      <w:pPr>
        <w:numPr>
          <w:ilvl w:val="0"/>
          <w:numId w:val="0"/>
        </w:numPr>
        <w:jc w:val="left"/>
        <w:rPr>
          <w:rFonts w:hint="eastAsia"/>
          <w:lang w:val="en-US" w:eastAsia="zh-CN"/>
        </w:rPr>
      </w:pPr>
      <w:r>
        <w:rPr>
          <w:rFonts w:hint="eastAsia"/>
          <w:lang w:val="en-US" w:eastAsia="zh-CN"/>
        </w:rPr>
        <w:t xml:space="preserve">    1、基材：选用纯非洲花梨木（刺猬紫檀）制造，无任何杂料。经防虫、防腐等化学处理， 木材含水率＜10%，甲醛释放量＜1.4mg/L，可溶性铅＜9mg/kg，抗弯力强，不易变形，环保无毒。                             </w:t>
      </w:r>
    </w:p>
    <w:p>
      <w:pPr>
        <w:numPr>
          <w:ilvl w:val="0"/>
          <w:numId w:val="0"/>
        </w:numPr>
        <w:jc w:val="left"/>
        <w:rPr>
          <w:rFonts w:hint="eastAsia"/>
          <w:lang w:val="en-US" w:eastAsia="zh-CN"/>
        </w:rPr>
      </w:pPr>
      <w:r>
        <w:rPr>
          <w:rFonts w:hint="eastAsia"/>
          <w:lang w:val="en-US" w:eastAsia="zh-CN"/>
        </w:rPr>
        <w:t xml:space="preserve">    2、木质工艺为榫卯结构，精雕细琢，使家具更具质感和美观。  </w:t>
      </w:r>
    </w:p>
    <w:p>
      <w:pPr>
        <w:ind w:firstLine="420" w:firstLineChars="200"/>
        <w:jc w:val="left"/>
        <w:rPr>
          <w:rFonts w:hint="eastAsia"/>
          <w:lang w:val="en-US" w:eastAsia="zh-CN"/>
        </w:rPr>
      </w:pPr>
      <w:r>
        <w:rPr>
          <w:rFonts w:hint="eastAsia"/>
          <w:lang w:val="en-US" w:eastAsia="zh-CN"/>
        </w:rPr>
        <w:t xml:space="preserve">3、油漆：采用环保底漆、面漆饰面，高聚酯环保油漆，经七底五面工艺，成品油漆表面硬度可达3H级，面漆耐磨度、硬度、耐酸均高于国家标准，漆面透明度好，色泽均匀、木纹纹理清晰，光滑耐磨、手感好；               </w:t>
      </w:r>
    </w:p>
    <w:p>
      <w:pPr>
        <w:ind w:firstLine="420" w:firstLineChars="200"/>
        <w:jc w:val="left"/>
        <w:rPr>
          <w:rFonts w:hint="eastAsia"/>
          <w:lang w:val="en-US" w:eastAsia="zh-CN"/>
        </w:rPr>
      </w:pPr>
      <w:r>
        <w:rPr>
          <w:rFonts w:hint="eastAsia"/>
          <w:lang w:val="en-US" w:eastAsia="zh-CN"/>
        </w:rPr>
        <w:t xml:space="preserve">4、粘合剂：优质环保粘合剂，粘贴性强，同时具有耐水、耐热、耐酸、耐有机溶剂、韧好特性。游离甲醛＜0.3g/kg，优于国家标准。 </w:t>
      </w:r>
    </w:p>
    <w:p>
      <w:pPr>
        <w:pStyle w:val="2"/>
        <w:rPr>
          <w:rFonts w:hint="eastAsia"/>
          <w:lang w:val="en-US" w:eastAsia="zh-CN"/>
        </w:rPr>
      </w:pPr>
      <w:r>
        <w:drawing>
          <wp:inline distT="0" distB="0" distL="114300" distR="114300">
            <wp:extent cx="4488815" cy="2600325"/>
            <wp:effectExtent l="0" t="0" r="6985" b="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1">
                      <a:clrChange>
                        <a:clrFrom>
                          <a:srgbClr val="000000">
                            <a:alpha val="100000"/>
                          </a:srgbClr>
                        </a:clrFrom>
                        <a:clrTo>
                          <a:srgbClr val="000000">
                            <a:alpha val="100000"/>
                            <a:alpha val="0"/>
                          </a:srgbClr>
                        </a:clrTo>
                      </a:clrChange>
                    </a:blip>
                    <a:stretch>
                      <a:fillRect/>
                    </a:stretch>
                  </pic:blipFill>
                  <pic:spPr>
                    <a:xfrm>
                      <a:off x="0" y="0"/>
                      <a:ext cx="4488815" cy="2600325"/>
                    </a:xfrm>
                    <a:prstGeom prst="rect">
                      <a:avLst/>
                    </a:prstGeom>
                    <a:noFill/>
                    <a:ln>
                      <a:noFill/>
                    </a:ln>
                  </pic:spPr>
                </pic:pic>
              </a:graphicData>
            </a:graphic>
          </wp:inline>
        </w:drawing>
      </w:r>
    </w:p>
    <w:p>
      <w:pPr>
        <w:rPr>
          <w:rFonts w:hint="eastAsia"/>
          <w:lang w:val="en-US" w:eastAsia="zh-CN"/>
        </w:rPr>
      </w:pPr>
    </w:p>
    <w:p>
      <w:pPr>
        <w:ind w:firstLine="420" w:firstLineChars="200"/>
        <w:rPr>
          <w:rFonts w:hint="eastAsia"/>
          <w:lang w:val="en-US" w:eastAsia="zh-CN"/>
        </w:rPr>
      </w:pPr>
      <w:r>
        <w:rPr>
          <w:rFonts w:hint="eastAsia"/>
          <w:lang w:val="en-US" w:eastAsia="zh-CN"/>
        </w:rPr>
        <w:t>四、中岛台：1200x800x1050mm（2个）</w:t>
      </w:r>
    </w:p>
    <w:p>
      <w:pPr>
        <w:numPr>
          <w:ilvl w:val="0"/>
          <w:numId w:val="0"/>
        </w:numPr>
        <w:ind w:firstLine="420" w:firstLineChars="200"/>
        <w:rPr>
          <w:rFonts w:hint="eastAsia"/>
          <w:lang w:val="en-US" w:eastAsia="zh-CN"/>
        </w:rPr>
      </w:pPr>
      <w:r>
        <w:rPr>
          <w:rFonts w:hint="eastAsia"/>
          <w:lang w:val="en-US" w:eastAsia="zh-CN"/>
        </w:rPr>
        <w:t>1、基材泰国进口优质橡胶木，搭配8mm厚钢化玻璃精心制作而成，经防虫、防腐等化学处理， 木材含水率＜10%，甲醛释放量＜1.4mg/L，可溶性铅＜9mg/kg，抗弯力强，不易变形，环保无毒。</w:t>
      </w:r>
    </w:p>
    <w:p>
      <w:pPr>
        <w:numPr>
          <w:ilvl w:val="0"/>
          <w:numId w:val="0"/>
        </w:numPr>
        <w:ind w:firstLine="420" w:firstLineChars="200"/>
        <w:rPr>
          <w:rFonts w:hint="eastAsia"/>
          <w:lang w:val="en-US" w:eastAsia="zh-CN"/>
        </w:rPr>
      </w:pPr>
      <w:r>
        <w:rPr>
          <w:rFonts w:hint="eastAsia"/>
          <w:lang w:val="en-US" w:eastAsia="zh-CN"/>
        </w:rPr>
        <w:t xml:space="preserve">2、油漆：采用环保底漆、面漆饰面，高聚酯环保油漆，经七底五面工艺，成品油漆表面硬度可达3H级，面漆耐磨度、硬度、耐酸均高于国家标准，漆面透明度好，色泽均匀、木纹纹理清晰，光滑耐磨、手感好；               </w:t>
      </w:r>
    </w:p>
    <w:p>
      <w:pPr>
        <w:ind w:firstLine="420" w:firstLineChars="200"/>
        <w:jc w:val="left"/>
        <w:rPr>
          <w:rFonts w:hint="eastAsia"/>
          <w:lang w:val="en-US" w:eastAsia="zh-CN"/>
        </w:rPr>
      </w:pPr>
      <w:r>
        <w:rPr>
          <w:rFonts w:hint="eastAsia"/>
          <w:lang w:val="en-US" w:eastAsia="zh-CN"/>
        </w:rPr>
        <w:t xml:space="preserve">3、粘合剂：优质环保粘合剂，粘贴性强，同时具有耐水、耐热、耐酸、耐有机溶剂、韧好特性。游离甲醛＜0.3g/kg，优于国家标准。                                                                             </w:t>
      </w:r>
    </w:p>
    <w:p>
      <w:pPr>
        <w:ind w:firstLine="420" w:firstLineChars="200"/>
        <w:jc w:val="left"/>
        <w:rPr>
          <w:rFonts w:hint="eastAsia"/>
          <w:lang w:val="en-US" w:eastAsia="zh-CN"/>
        </w:rPr>
      </w:pPr>
      <w:r>
        <w:rPr>
          <w:rFonts w:hint="eastAsia"/>
          <w:lang w:val="en-US" w:eastAsia="zh-CN"/>
        </w:rPr>
        <w:t>4、五金配件：采用优质五金配件，导轨选用优质三节导轨，静音，承重性强，连续开合50000次仍能正常使用；锁选用进口品牌正面锁，经过耐盐浴检测无锈蚀、痕迹等现象。</w:t>
      </w:r>
    </w:p>
    <w:p>
      <w:pPr>
        <w:pStyle w:val="2"/>
        <w:jc w:val="center"/>
        <w:rPr>
          <w:rFonts w:hint="eastAsia"/>
          <w:lang w:val="en-US" w:eastAsia="zh-CN"/>
        </w:rPr>
      </w:pPr>
      <w:r>
        <w:drawing>
          <wp:inline distT="0" distB="0" distL="114300" distR="114300">
            <wp:extent cx="5052060" cy="3701415"/>
            <wp:effectExtent l="0" t="0" r="5715" b="381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12"/>
                    <a:stretch>
                      <a:fillRect/>
                    </a:stretch>
                  </pic:blipFill>
                  <pic:spPr>
                    <a:xfrm>
                      <a:off x="0" y="0"/>
                      <a:ext cx="5052060" cy="3701415"/>
                    </a:xfrm>
                    <a:prstGeom prst="rect">
                      <a:avLst/>
                    </a:prstGeom>
                    <a:noFill/>
                    <a:ln>
                      <a:noFill/>
                    </a:ln>
                  </pic:spPr>
                </pic:pic>
              </a:graphicData>
            </a:graphic>
          </wp:inline>
        </w:drawing>
      </w:r>
    </w:p>
    <w:p>
      <w:pPr>
        <w:pStyle w:val="2"/>
        <w:numPr>
          <w:ilvl w:val="0"/>
          <w:numId w:val="0"/>
        </w:numPr>
        <w:rPr>
          <w:rFonts w:hint="eastAsia"/>
          <w:lang w:val="en-US" w:eastAsia="zh-CN"/>
        </w:rPr>
      </w:pPr>
    </w:p>
    <w:p>
      <w:pPr>
        <w:spacing w:line="300" w:lineRule="auto"/>
        <w:jc w:val="center"/>
        <w:rPr>
          <w:rFonts w:hint="eastAsia" w:ascii="宋体" w:hAnsi="宋体" w:cs="Times New Roman"/>
          <w:b/>
          <w:spacing w:val="4"/>
          <w:sz w:val="44"/>
          <w:szCs w:val="44"/>
        </w:rPr>
      </w:pPr>
    </w:p>
    <w:p>
      <w:pPr>
        <w:spacing w:line="300" w:lineRule="auto"/>
        <w:jc w:val="center"/>
        <w:rPr>
          <w:rFonts w:hint="eastAsia" w:ascii="宋体" w:hAnsi="宋体" w:cs="Times New Roman"/>
          <w:b/>
          <w:spacing w:val="4"/>
          <w:sz w:val="44"/>
          <w:szCs w:val="44"/>
        </w:rPr>
      </w:pPr>
    </w:p>
    <w:p>
      <w:pPr>
        <w:spacing w:line="300" w:lineRule="auto"/>
        <w:jc w:val="center"/>
        <w:rPr>
          <w:rFonts w:hint="eastAsia" w:ascii="宋体" w:hAnsi="宋体" w:cs="Times New Roman"/>
          <w:b/>
          <w:spacing w:val="4"/>
          <w:sz w:val="44"/>
          <w:szCs w:val="44"/>
        </w:rPr>
      </w:pPr>
    </w:p>
    <w:p>
      <w:pPr>
        <w:spacing w:line="300" w:lineRule="auto"/>
        <w:jc w:val="center"/>
        <w:rPr>
          <w:rFonts w:hint="eastAsia" w:ascii="宋体" w:hAnsi="宋体" w:cs="Times New Roman"/>
          <w:b/>
          <w:spacing w:val="4"/>
          <w:sz w:val="44"/>
          <w:szCs w:val="44"/>
        </w:rPr>
      </w:pPr>
    </w:p>
    <w:p>
      <w:pPr>
        <w:pStyle w:val="3"/>
        <w:rPr>
          <w:rFonts w:ascii="宋体" w:hAnsi="宋体"/>
          <w:color w:val="000000"/>
          <w:sz w:val="21"/>
          <w:szCs w:val="21"/>
        </w:rPr>
      </w:pPr>
      <w:bookmarkStart w:id="0" w:name="_Toc34991461"/>
      <w:bookmarkStart w:id="1" w:name="_Toc12022"/>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：投标函</w:t>
      </w:r>
      <w:bookmarkEnd w:id="0"/>
      <w:bookmarkEnd w:id="1"/>
    </w:p>
    <w:p>
      <w:pPr>
        <w:jc w:val="center"/>
        <w:rPr>
          <w:rFonts w:ascii="宋体"/>
          <w:color w:val="000000"/>
        </w:rPr>
      </w:pPr>
      <w:r>
        <w:rPr>
          <w:rFonts w:hint="eastAsia" w:ascii="宋体" w:hAnsi="宋体"/>
          <w:b/>
          <w:bCs/>
          <w:color w:val="000000"/>
          <w:sz w:val="44"/>
        </w:rPr>
        <w:t>投</w:t>
      </w:r>
      <w:r>
        <w:rPr>
          <w:rFonts w:ascii="宋体" w:hAnsi="宋体"/>
          <w:b/>
          <w:bCs/>
          <w:color w:val="000000"/>
          <w:sz w:val="44"/>
        </w:rPr>
        <w:t xml:space="preserve">    </w:t>
      </w:r>
      <w:r>
        <w:rPr>
          <w:rFonts w:hint="eastAsia" w:ascii="宋体" w:hAnsi="宋体"/>
          <w:b/>
          <w:bCs/>
          <w:color w:val="000000"/>
          <w:sz w:val="44"/>
        </w:rPr>
        <w:t>标</w:t>
      </w:r>
      <w:r>
        <w:rPr>
          <w:rFonts w:ascii="宋体" w:hAnsi="宋体"/>
          <w:b/>
          <w:bCs/>
          <w:color w:val="000000"/>
          <w:sz w:val="44"/>
        </w:rPr>
        <w:t xml:space="preserve">    </w:t>
      </w:r>
      <w:r>
        <w:rPr>
          <w:rFonts w:hint="eastAsia" w:ascii="宋体" w:hAnsi="宋体"/>
          <w:b/>
          <w:bCs/>
          <w:color w:val="000000"/>
          <w:sz w:val="44"/>
        </w:rPr>
        <w:t>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公开招标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公开招标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公开招标</w:t>
      </w:r>
      <w:r>
        <w:rPr>
          <w:rFonts w:hint="eastAsia"/>
          <w:color w:val="000000"/>
          <w:sz w:val="24"/>
        </w:rPr>
        <w:t>项目及该项目相关人员之间均不存在可能影响</w:t>
      </w:r>
      <w:r>
        <w:rPr>
          <w:rFonts w:hint="eastAsia"/>
          <w:color w:val="000000"/>
          <w:sz w:val="24"/>
          <w:lang w:eastAsia="zh-CN"/>
        </w:rPr>
        <w:t>公开招标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公开招标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公开招标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公开招标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公开招标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7"/>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rPr>
          <w:rFonts w:ascii="宋体"/>
          <w:color w:val="000000"/>
          <w:spacing w:val="4"/>
          <w:sz w:val="24"/>
        </w:rPr>
      </w:pPr>
      <w:r>
        <w:rPr>
          <w:rFonts w:ascii="宋体"/>
          <w:color w:val="000000"/>
          <w:spacing w:val="4"/>
          <w:sz w:val="24"/>
        </w:rPr>
        <w:br w:type="page"/>
      </w:r>
    </w:p>
    <w:p>
      <w:pPr>
        <w:pStyle w:val="2"/>
        <w:sectPr>
          <w:footerReference r:id="rId5" w:type="first"/>
          <w:footerReference r:id="rId3" w:type="default"/>
          <w:footerReference r:id="rId4" w:type="even"/>
          <w:pgSz w:w="11906" w:h="16838"/>
          <w:pgMar w:top="1440" w:right="1418" w:bottom="1440" w:left="1644" w:header="851" w:footer="992" w:gutter="0"/>
          <w:pgNumType w:fmt="decimal"/>
          <w:cols w:space="720" w:num="1"/>
          <w:titlePg/>
          <w:docGrid w:type="lines" w:linePitch="312" w:charSpace="0"/>
        </w:sectPr>
      </w:pPr>
    </w:p>
    <w:p>
      <w:pPr>
        <w:pStyle w:val="3"/>
        <w:rPr>
          <w:rFonts w:ascii="宋体" w:hAnsi="宋体"/>
          <w:b w:val="0"/>
          <w:color w:val="000000"/>
          <w:sz w:val="21"/>
          <w:szCs w:val="21"/>
        </w:rPr>
      </w:pPr>
      <w:bookmarkStart w:id="2" w:name="_Toc34991462"/>
      <w:bookmarkStart w:id="3" w:name="_Toc30593"/>
      <w:r>
        <w:rPr>
          <w:rFonts w:hint="eastAsia" w:ascii="宋体" w:hAnsi="宋体"/>
          <w:b w:val="0"/>
          <w:color w:val="000000"/>
          <w:sz w:val="21"/>
          <w:szCs w:val="21"/>
        </w:rPr>
        <w:t>附件</w:t>
      </w:r>
      <w:r>
        <w:rPr>
          <w:rFonts w:ascii="宋体" w:hAnsi="宋体"/>
          <w:b w:val="0"/>
          <w:color w:val="000000"/>
          <w:sz w:val="21"/>
          <w:szCs w:val="21"/>
        </w:rPr>
        <w:t>2</w:t>
      </w:r>
      <w:r>
        <w:rPr>
          <w:rFonts w:hint="eastAsia" w:ascii="宋体" w:hAnsi="宋体"/>
          <w:b w:val="0"/>
          <w:color w:val="000000"/>
          <w:sz w:val="21"/>
          <w:szCs w:val="21"/>
        </w:rPr>
        <w:t>：投</w:t>
      </w:r>
      <w:r>
        <w:rPr>
          <w:rFonts w:ascii="宋体" w:hAnsi="宋体"/>
          <w:b w:val="0"/>
          <w:color w:val="000000"/>
          <w:sz w:val="21"/>
          <w:szCs w:val="21"/>
        </w:rPr>
        <w:t xml:space="preserve"> </w:t>
      </w:r>
      <w:r>
        <w:rPr>
          <w:rFonts w:hint="eastAsia" w:ascii="宋体" w:hAnsi="宋体"/>
          <w:b w:val="0"/>
          <w:color w:val="000000"/>
          <w:sz w:val="21"/>
          <w:szCs w:val="21"/>
        </w:rPr>
        <w:t>标</w:t>
      </w:r>
      <w:r>
        <w:rPr>
          <w:rFonts w:ascii="宋体" w:hAnsi="宋体"/>
          <w:b w:val="0"/>
          <w:color w:val="000000"/>
          <w:sz w:val="21"/>
          <w:szCs w:val="21"/>
        </w:rPr>
        <w:t xml:space="preserve"> </w:t>
      </w:r>
      <w:r>
        <w:rPr>
          <w:rFonts w:hint="eastAsia" w:ascii="宋体" w:hAnsi="宋体"/>
          <w:b w:val="0"/>
          <w:color w:val="000000"/>
          <w:sz w:val="21"/>
          <w:szCs w:val="21"/>
        </w:rPr>
        <w:t>报</w:t>
      </w:r>
      <w:r>
        <w:rPr>
          <w:rFonts w:ascii="宋体" w:hAnsi="宋体"/>
          <w:b w:val="0"/>
          <w:color w:val="000000"/>
          <w:sz w:val="21"/>
          <w:szCs w:val="21"/>
        </w:rPr>
        <w:t xml:space="preserve"> </w:t>
      </w:r>
      <w:r>
        <w:rPr>
          <w:rFonts w:hint="eastAsia" w:ascii="宋体" w:hAnsi="宋体"/>
          <w:b w:val="0"/>
          <w:color w:val="000000"/>
          <w:sz w:val="21"/>
          <w:szCs w:val="21"/>
        </w:rPr>
        <w:t>价</w:t>
      </w:r>
      <w:r>
        <w:rPr>
          <w:rFonts w:ascii="宋体" w:hAnsi="宋体"/>
          <w:b w:val="0"/>
          <w:color w:val="000000"/>
          <w:sz w:val="21"/>
          <w:szCs w:val="21"/>
        </w:rPr>
        <w:t xml:space="preserve"> </w:t>
      </w:r>
      <w:r>
        <w:rPr>
          <w:rFonts w:hint="eastAsia" w:ascii="宋体" w:hAnsi="宋体"/>
          <w:b w:val="0"/>
          <w:color w:val="000000"/>
          <w:sz w:val="21"/>
          <w:szCs w:val="21"/>
        </w:rPr>
        <w:t>总</w:t>
      </w:r>
      <w:r>
        <w:rPr>
          <w:rFonts w:ascii="宋体" w:hAnsi="宋体"/>
          <w:b w:val="0"/>
          <w:color w:val="000000"/>
          <w:sz w:val="21"/>
          <w:szCs w:val="21"/>
        </w:rPr>
        <w:t xml:space="preserve"> </w:t>
      </w:r>
      <w:r>
        <w:rPr>
          <w:rFonts w:hint="eastAsia" w:ascii="宋体" w:hAnsi="宋体"/>
          <w:b w:val="0"/>
          <w:color w:val="000000"/>
          <w:sz w:val="21"/>
          <w:szCs w:val="21"/>
        </w:rPr>
        <w:t>表</w:t>
      </w:r>
      <w:bookmarkEnd w:id="2"/>
      <w:bookmarkEnd w:id="3"/>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7"/>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210"/>
        <w:gridCol w:w="1807"/>
        <w:gridCol w:w="998"/>
        <w:gridCol w:w="1359"/>
        <w:gridCol w:w="998"/>
        <w:gridCol w:w="1189"/>
        <w:gridCol w:w="1102"/>
        <w:gridCol w:w="559"/>
        <w:gridCol w:w="641"/>
        <w:gridCol w:w="551"/>
        <w:gridCol w:w="672"/>
        <w:gridCol w:w="1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6"/>
            <w:noWrap w:val="0"/>
            <w:vAlign w:val="center"/>
          </w:tcPr>
          <w:p>
            <w:pPr>
              <w:spacing w:line="360" w:lineRule="auto"/>
              <w:jc w:val="center"/>
              <w:rPr>
                <w:rFonts w:ascii="宋体"/>
                <w:b/>
                <w:color w:val="000000"/>
                <w:szCs w:val="21"/>
              </w:rPr>
            </w:pPr>
          </w:p>
        </w:tc>
        <w:tc>
          <w:tcPr>
            <w:tcW w:w="2291"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3993" w:type="dxa"/>
            <w:gridSpan w:val="5"/>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1828"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1807"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gridSpan w:val="2"/>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998"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1189"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02"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200" w:type="dxa"/>
            <w:gridSpan w:val="2"/>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1223" w:type="dxa"/>
            <w:gridSpan w:val="2"/>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570"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1828" w:type="dxa"/>
            <w:gridSpan w:val="3"/>
            <w:noWrap w:val="0"/>
            <w:vAlign w:val="top"/>
          </w:tcPr>
          <w:p>
            <w:pPr>
              <w:spacing w:line="360" w:lineRule="auto"/>
              <w:rPr>
                <w:rFonts w:ascii="宋体"/>
                <w:color w:val="000000"/>
                <w:sz w:val="24"/>
              </w:rPr>
            </w:pPr>
          </w:p>
        </w:tc>
        <w:tc>
          <w:tcPr>
            <w:tcW w:w="1807" w:type="dxa"/>
            <w:noWrap w:val="0"/>
            <w:vAlign w:val="top"/>
          </w:tcPr>
          <w:p>
            <w:pPr>
              <w:spacing w:line="360" w:lineRule="auto"/>
              <w:rPr>
                <w:rFonts w:ascii="宋体"/>
                <w:color w:val="000000"/>
                <w:sz w:val="24"/>
              </w:rPr>
            </w:pPr>
          </w:p>
        </w:tc>
        <w:tc>
          <w:tcPr>
            <w:tcW w:w="2357" w:type="dxa"/>
            <w:gridSpan w:val="2"/>
            <w:noWrap w:val="0"/>
            <w:vAlign w:val="top"/>
          </w:tcPr>
          <w:p>
            <w:pPr>
              <w:spacing w:line="360" w:lineRule="auto"/>
              <w:rPr>
                <w:rFonts w:ascii="宋体"/>
                <w:color w:val="000000"/>
                <w:sz w:val="24"/>
              </w:rPr>
            </w:pPr>
          </w:p>
        </w:tc>
        <w:tc>
          <w:tcPr>
            <w:tcW w:w="998" w:type="dxa"/>
            <w:noWrap w:val="0"/>
            <w:vAlign w:val="top"/>
          </w:tcPr>
          <w:p>
            <w:pPr>
              <w:spacing w:line="360" w:lineRule="auto"/>
              <w:rPr>
                <w:rFonts w:ascii="宋体"/>
                <w:color w:val="000000"/>
                <w:sz w:val="24"/>
              </w:rPr>
            </w:pPr>
          </w:p>
        </w:tc>
        <w:tc>
          <w:tcPr>
            <w:tcW w:w="1189" w:type="dxa"/>
            <w:noWrap w:val="0"/>
            <w:vAlign w:val="top"/>
          </w:tcPr>
          <w:p>
            <w:pPr>
              <w:spacing w:line="360" w:lineRule="auto"/>
              <w:rPr>
                <w:rFonts w:ascii="宋体"/>
                <w:color w:val="000000"/>
                <w:sz w:val="24"/>
              </w:rPr>
            </w:pPr>
          </w:p>
        </w:tc>
        <w:tc>
          <w:tcPr>
            <w:tcW w:w="1102" w:type="dxa"/>
            <w:noWrap w:val="0"/>
            <w:vAlign w:val="top"/>
          </w:tcPr>
          <w:p>
            <w:pPr>
              <w:spacing w:line="360" w:lineRule="auto"/>
              <w:rPr>
                <w:rFonts w:ascii="宋体"/>
                <w:color w:val="000000"/>
                <w:sz w:val="24"/>
              </w:rPr>
            </w:pPr>
          </w:p>
        </w:tc>
        <w:tc>
          <w:tcPr>
            <w:tcW w:w="1200" w:type="dxa"/>
            <w:gridSpan w:val="2"/>
            <w:noWrap w:val="0"/>
            <w:vAlign w:val="top"/>
          </w:tcPr>
          <w:p>
            <w:pPr>
              <w:spacing w:line="360" w:lineRule="auto"/>
              <w:rPr>
                <w:rFonts w:ascii="宋体"/>
                <w:color w:val="000000"/>
                <w:sz w:val="24"/>
              </w:rPr>
            </w:pPr>
          </w:p>
        </w:tc>
        <w:tc>
          <w:tcPr>
            <w:tcW w:w="1223" w:type="dxa"/>
            <w:gridSpan w:val="2"/>
            <w:noWrap w:val="0"/>
            <w:vAlign w:val="top"/>
          </w:tcPr>
          <w:p>
            <w:pPr>
              <w:spacing w:line="360" w:lineRule="auto"/>
              <w:rPr>
                <w:rFonts w:ascii="宋体"/>
                <w:color w:val="000000"/>
                <w:sz w:val="24"/>
              </w:rPr>
            </w:pPr>
          </w:p>
        </w:tc>
        <w:tc>
          <w:tcPr>
            <w:tcW w:w="1570"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1828" w:type="dxa"/>
            <w:gridSpan w:val="3"/>
            <w:noWrap w:val="0"/>
            <w:vAlign w:val="top"/>
          </w:tcPr>
          <w:p>
            <w:pPr>
              <w:spacing w:line="360" w:lineRule="auto"/>
              <w:rPr>
                <w:rFonts w:ascii="宋体"/>
                <w:color w:val="000000"/>
                <w:sz w:val="24"/>
              </w:rPr>
            </w:pPr>
          </w:p>
        </w:tc>
        <w:tc>
          <w:tcPr>
            <w:tcW w:w="1807" w:type="dxa"/>
            <w:noWrap w:val="0"/>
            <w:vAlign w:val="top"/>
          </w:tcPr>
          <w:p>
            <w:pPr>
              <w:spacing w:line="360" w:lineRule="auto"/>
              <w:rPr>
                <w:rFonts w:ascii="宋体"/>
                <w:color w:val="000000"/>
                <w:sz w:val="24"/>
              </w:rPr>
            </w:pPr>
          </w:p>
        </w:tc>
        <w:tc>
          <w:tcPr>
            <w:tcW w:w="2357" w:type="dxa"/>
            <w:gridSpan w:val="2"/>
            <w:noWrap w:val="0"/>
            <w:vAlign w:val="top"/>
          </w:tcPr>
          <w:p>
            <w:pPr>
              <w:spacing w:line="360" w:lineRule="auto"/>
              <w:rPr>
                <w:rFonts w:ascii="宋体"/>
                <w:color w:val="000000"/>
                <w:sz w:val="24"/>
              </w:rPr>
            </w:pPr>
          </w:p>
        </w:tc>
        <w:tc>
          <w:tcPr>
            <w:tcW w:w="998" w:type="dxa"/>
            <w:noWrap w:val="0"/>
            <w:vAlign w:val="top"/>
          </w:tcPr>
          <w:p>
            <w:pPr>
              <w:spacing w:line="360" w:lineRule="auto"/>
              <w:rPr>
                <w:rFonts w:ascii="宋体"/>
                <w:color w:val="000000"/>
                <w:sz w:val="24"/>
              </w:rPr>
            </w:pPr>
          </w:p>
        </w:tc>
        <w:tc>
          <w:tcPr>
            <w:tcW w:w="1189" w:type="dxa"/>
            <w:noWrap w:val="0"/>
            <w:vAlign w:val="top"/>
          </w:tcPr>
          <w:p>
            <w:pPr>
              <w:spacing w:line="360" w:lineRule="auto"/>
              <w:rPr>
                <w:rFonts w:ascii="宋体"/>
                <w:color w:val="000000"/>
                <w:sz w:val="24"/>
              </w:rPr>
            </w:pPr>
          </w:p>
        </w:tc>
        <w:tc>
          <w:tcPr>
            <w:tcW w:w="1102" w:type="dxa"/>
            <w:noWrap w:val="0"/>
            <w:vAlign w:val="top"/>
          </w:tcPr>
          <w:p>
            <w:pPr>
              <w:spacing w:line="360" w:lineRule="auto"/>
              <w:rPr>
                <w:rFonts w:ascii="宋体"/>
                <w:color w:val="000000"/>
                <w:sz w:val="24"/>
              </w:rPr>
            </w:pPr>
          </w:p>
        </w:tc>
        <w:tc>
          <w:tcPr>
            <w:tcW w:w="1200" w:type="dxa"/>
            <w:gridSpan w:val="2"/>
            <w:noWrap w:val="0"/>
            <w:vAlign w:val="top"/>
          </w:tcPr>
          <w:p>
            <w:pPr>
              <w:spacing w:line="360" w:lineRule="auto"/>
              <w:rPr>
                <w:rFonts w:ascii="宋体"/>
                <w:color w:val="000000"/>
                <w:sz w:val="24"/>
              </w:rPr>
            </w:pPr>
          </w:p>
        </w:tc>
        <w:tc>
          <w:tcPr>
            <w:tcW w:w="1223" w:type="dxa"/>
            <w:gridSpan w:val="2"/>
            <w:noWrap w:val="0"/>
            <w:vAlign w:val="top"/>
          </w:tcPr>
          <w:p>
            <w:pPr>
              <w:spacing w:line="360" w:lineRule="auto"/>
              <w:rPr>
                <w:rFonts w:ascii="宋体"/>
                <w:color w:val="000000"/>
                <w:sz w:val="24"/>
              </w:rPr>
            </w:pPr>
          </w:p>
        </w:tc>
        <w:tc>
          <w:tcPr>
            <w:tcW w:w="1570"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1828" w:type="dxa"/>
            <w:gridSpan w:val="3"/>
            <w:noWrap w:val="0"/>
            <w:vAlign w:val="top"/>
          </w:tcPr>
          <w:p>
            <w:pPr>
              <w:spacing w:line="360" w:lineRule="auto"/>
              <w:rPr>
                <w:rFonts w:ascii="宋体"/>
                <w:color w:val="000000"/>
                <w:sz w:val="24"/>
              </w:rPr>
            </w:pPr>
          </w:p>
        </w:tc>
        <w:tc>
          <w:tcPr>
            <w:tcW w:w="1807" w:type="dxa"/>
            <w:noWrap w:val="0"/>
            <w:vAlign w:val="top"/>
          </w:tcPr>
          <w:p>
            <w:pPr>
              <w:spacing w:line="360" w:lineRule="auto"/>
              <w:rPr>
                <w:rFonts w:ascii="宋体"/>
                <w:color w:val="000000"/>
                <w:sz w:val="24"/>
              </w:rPr>
            </w:pPr>
          </w:p>
        </w:tc>
        <w:tc>
          <w:tcPr>
            <w:tcW w:w="2357" w:type="dxa"/>
            <w:gridSpan w:val="2"/>
            <w:noWrap w:val="0"/>
            <w:vAlign w:val="top"/>
          </w:tcPr>
          <w:p>
            <w:pPr>
              <w:spacing w:line="360" w:lineRule="auto"/>
              <w:rPr>
                <w:rFonts w:ascii="宋体"/>
                <w:color w:val="000000"/>
                <w:sz w:val="24"/>
              </w:rPr>
            </w:pPr>
          </w:p>
        </w:tc>
        <w:tc>
          <w:tcPr>
            <w:tcW w:w="998" w:type="dxa"/>
            <w:noWrap w:val="0"/>
            <w:vAlign w:val="top"/>
          </w:tcPr>
          <w:p>
            <w:pPr>
              <w:spacing w:line="360" w:lineRule="auto"/>
              <w:rPr>
                <w:rFonts w:ascii="宋体"/>
                <w:color w:val="000000"/>
                <w:sz w:val="24"/>
              </w:rPr>
            </w:pPr>
          </w:p>
        </w:tc>
        <w:tc>
          <w:tcPr>
            <w:tcW w:w="1189" w:type="dxa"/>
            <w:noWrap w:val="0"/>
            <w:vAlign w:val="top"/>
          </w:tcPr>
          <w:p>
            <w:pPr>
              <w:spacing w:line="360" w:lineRule="auto"/>
              <w:rPr>
                <w:rFonts w:ascii="宋体"/>
                <w:color w:val="000000"/>
                <w:sz w:val="24"/>
              </w:rPr>
            </w:pPr>
          </w:p>
        </w:tc>
        <w:tc>
          <w:tcPr>
            <w:tcW w:w="1102" w:type="dxa"/>
            <w:noWrap w:val="0"/>
            <w:vAlign w:val="top"/>
          </w:tcPr>
          <w:p>
            <w:pPr>
              <w:spacing w:line="360" w:lineRule="auto"/>
              <w:rPr>
                <w:rFonts w:ascii="宋体"/>
                <w:color w:val="000000"/>
                <w:sz w:val="24"/>
              </w:rPr>
            </w:pPr>
          </w:p>
        </w:tc>
        <w:tc>
          <w:tcPr>
            <w:tcW w:w="1200" w:type="dxa"/>
            <w:gridSpan w:val="2"/>
            <w:noWrap w:val="0"/>
            <w:vAlign w:val="top"/>
          </w:tcPr>
          <w:p>
            <w:pPr>
              <w:spacing w:line="360" w:lineRule="auto"/>
              <w:rPr>
                <w:rFonts w:ascii="宋体"/>
                <w:color w:val="000000"/>
                <w:sz w:val="24"/>
              </w:rPr>
            </w:pPr>
          </w:p>
        </w:tc>
        <w:tc>
          <w:tcPr>
            <w:tcW w:w="1223" w:type="dxa"/>
            <w:gridSpan w:val="2"/>
            <w:noWrap w:val="0"/>
            <w:vAlign w:val="top"/>
          </w:tcPr>
          <w:p>
            <w:pPr>
              <w:spacing w:line="360" w:lineRule="auto"/>
              <w:rPr>
                <w:rFonts w:ascii="宋体"/>
                <w:color w:val="000000"/>
                <w:sz w:val="24"/>
              </w:rPr>
            </w:pPr>
          </w:p>
        </w:tc>
        <w:tc>
          <w:tcPr>
            <w:tcW w:w="1570"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1828" w:type="dxa"/>
            <w:gridSpan w:val="3"/>
            <w:noWrap w:val="0"/>
            <w:vAlign w:val="top"/>
          </w:tcPr>
          <w:p>
            <w:pPr>
              <w:spacing w:line="360" w:lineRule="auto"/>
              <w:rPr>
                <w:rFonts w:ascii="宋体"/>
                <w:color w:val="000000"/>
                <w:sz w:val="24"/>
              </w:rPr>
            </w:pPr>
          </w:p>
        </w:tc>
        <w:tc>
          <w:tcPr>
            <w:tcW w:w="1807" w:type="dxa"/>
            <w:noWrap w:val="0"/>
            <w:vAlign w:val="top"/>
          </w:tcPr>
          <w:p>
            <w:pPr>
              <w:spacing w:line="360" w:lineRule="auto"/>
              <w:rPr>
                <w:rFonts w:ascii="宋体"/>
                <w:color w:val="000000"/>
                <w:sz w:val="24"/>
              </w:rPr>
            </w:pPr>
          </w:p>
        </w:tc>
        <w:tc>
          <w:tcPr>
            <w:tcW w:w="2357" w:type="dxa"/>
            <w:gridSpan w:val="2"/>
            <w:noWrap w:val="0"/>
            <w:vAlign w:val="top"/>
          </w:tcPr>
          <w:p>
            <w:pPr>
              <w:spacing w:line="360" w:lineRule="auto"/>
              <w:rPr>
                <w:rFonts w:ascii="宋体"/>
                <w:color w:val="000000"/>
                <w:sz w:val="24"/>
              </w:rPr>
            </w:pPr>
          </w:p>
        </w:tc>
        <w:tc>
          <w:tcPr>
            <w:tcW w:w="998" w:type="dxa"/>
            <w:noWrap w:val="0"/>
            <w:vAlign w:val="top"/>
          </w:tcPr>
          <w:p>
            <w:pPr>
              <w:spacing w:line="360" w:lineRule="auto"/>
              <w:rPr>
                <w:rFonts w:ascii="宋体"/>
                <w:color w:val="000000"/>
                <w:sz w:val="24"/>
              </w:rPr>
            </w:pPr>
          </w:p>
        </w:tc>
        <w:tc>
          <w:tcPr>
            <w:tcW w:w="1189" w:type="dxa"/>
            <w:noWrap w:val="0"/>
            <w:vAlign w:val="top"/>
          </w:tcPr>
          <w:p>
            <w:pPr>
              <w:spacing w:line="360" w:lineRule="auto"/>
              <w:rPr>
                <w:rFonts w:ascii="宋体"/>
                <w:color w:val="000000"/>
                <w:sz w:val="24"/>
              </w:rPr>
            </w:pPr>
          </w:p>
        </w:tc>
        <w:tc>
          <w:tcPr>
            <w:tcW w:w="1102" w:type="dxa"/>
            <w:noWrap w:val="0"/>
            <w:vAlign w:val="top"/>
          </w:tcPr>
          <w:p>
            <w:pPr>
              <w:spacing w:line="360" w:lineRule="auto"/>
              <w:rPr>
                <w:rFonts w:ascii="宋体"/>
                <w:color w:val="000000"/>
                <w:sz w:val="24"/>
              </w:rPr>
            </w:pPr>
          </w:p>
        </w:tc>
        <w:tc>
          <w:tcPr>
            <w:tcW w:w="1200" w:type="dxa"/>
            <w:gridSpan w:val="2"/>
            <w:noWrap w:val="0"/>
            <w:vAlign w:val="top"/>
          </w:tcPr>
          <w:p>
            <w:pPr>
              <w:spacing w:line="360" w:lineRule="auto"/>
              <w:rPr>
                <w:rFonts w:ascii="宋体"/>
                <w:color w:val="000000"/>
                <w:sz w:val="24"/>
              </w:rPr>
            </w:pPr>
          </w:p>
        </w:tc>
        <w:tc>
          <w:tcPr>
            <w:tcW w:w="1223" w:type="dxa"/>
            <w:gridSpan w:val="2"/>
            <w:noWrap w:val="0"/>
            <w:vAlign w:val="top"/>
          </w:tcPr>
          <w:p>
            <w:pPr>
              <w:spacing w:line="360" w:lineRule="auto"/>
              <w:rPr>
                <w:rFonts w:ascii="宋体"/>
                <w:color w:val="000000"/>
                <w:sz w:val="24"/>
              </w:rPr>
            </w:pPr>
          </w:p>
        </w:tc>
        <w:tc>
          <w:tcPr>
            <w:tcW w:w="1570"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1828" w:type="dxa"/>
            <w:gridSpan w:val="3"/>
            <w:noWrap w:val="0"/>
            <w:vAlign w:val="top"/>
          </w:tcPr>
          <w:p>
            <w:pPr>
              <w:spacing w:line="360" w:lineRule="auto"/>
              <w:rPr>
                <w:rFonts w:ascii="宋体"/>
                <w:color w:val="000000"/>
                <w:sz w:val="24"/>
              </w:rPr>
            </w:pPr>
          </w:p>
        </w:tc>
        <w:tc>
          <w:tcPr>
            <w:tcW w:w="1807" w:type="dxa"/>
            <w:noWrap w:val="0"/>
            <w:vAlign w:val="top"/>
          </w:tcPr>
          <w:p>
            <w:pPr>
              <w:spacing w:line="360" w:lineRule="auto"/>
              <w:rPr>
                <w:rFonts w:ascii="宋体"/>
                <w:color w:val="000000"/>
                <w:sz w:val="24"/>
              </w:rPr>
            </w:pPr>
          </w:p>
        </w:tc>
        <w:tc>
          <w:tcPr>
            <w:tcW w:w="2357" w:type="dxa"/>
            <w:gridSpan w:val="2"/>
            <w:noWrap w:val="0"/>
            <w:vAlign w:val="top"/>
          </w:tcPr>
          <w:p>
            <w:pPr>
              <w:spacing w:line="360" w:lineRule="auto"/>
              <w:rPr>
                <w:rFonts w:ascii="宋体"/>
                <w:color w:val="000000"/>
                <w:sz w:val="24"/>
              </w:rPr>
            </w:pPr>
          </w:p>
        </w:tc>
        <w:tc>
          <w:tcPr>
            <w:tcW w:w="998" w:type="dxa"/>
            <w:noWrap w:val="0"/>
            <w:vAlign w:val="top"/>
          </w:tcPr>
          <w:p>
            <w:pPr>
              <w:spacing w:line="360" w:lineRule="auto"/>
              <w:rPr>
                <w:rFonts w:ascii="宋体"/>
                <w:color w:val="000000"/>
                <w:sz w:val="24"/>
              </w:rPr>
            </w:pPr>
          </w:p>
        </w:tc>
        <w:tc>
          <w:tcPr>
            <w:tcW w:w="1189" w:type="dxa"/>
            <w:noWrap w:val="0"/>
            <w:vAlign w:val="top"/>
          </w:tcPr>
          <w:p>
            <w:pPr>
              <w:spacing w:line="360" w:lineRule="auto"/>
              <w:rPr>
                <w:rFonts w:ascii="宋体"/>
                <w:color w:val="000000"/>
                <w:sz w:val="24"/>
              </w:rPr>
            </w:pPr>
          </w:p>
        </w:tc>
        <w:tc>
          <w:tcPr>
            <w:tcW w:w="1102" w:type="dxa"/>
            <w:noWrap w:val="0"/>
            <w:vAlign w:val="top"/>
          </w:tcPr>
          <w:p>
            <w:pPr>
              <w:spacing w:line="360" w:lineRule="auto"/>
              <w:rPr>
                <w:rFonts w:ascii="宋体"/>
                <w:color w:val="000000"/>
                <w:sz w:val="24"/>
              </w:rPr>
            </w:pPr>
          </w:p>
        </w:tc>
        <w:tc>
          <w:tcPr>
            <w:tcW w:w="1200" w:type="dxa"/>
            <w:gridSpan w:val="2"/>
            <w:noWrap w:val="0"/>
            <w:vAlign w:val="top"/>
          </w:tcPr>
          <w:p>
            <w:pPr>
              <w:spacing w:line="360" w:lineRule="auto"/>
              <w:rPr>
                <w:rFonts w:ascii="宋体"/>
                <w:color w:val="000000"/>
                <w:sz w:val="24"/>
              </w:rPr>
            </w:pPr>
          </w:p>
        </w:tc>
        <w:tc>
          <w:tcPr>
            <w:tcW w:w="1223" w:type="dxa"/>
            <w:gridSpan w:val="2"/>
            <w:noWrap w:val="0"/>
            <w:vAlign w:val="top"/>
          </w:tcPr>
          <w:p>
            <w:pPr>
              <w:spacing w:line="360" w:lineRule="auto"/>
              <w:rPr>
                <w:rFonts w:ascii="宋体"/>
                <w:color w:val="000000"/>
                <w:sz w:val="24"/>
              </w:rPr>
            </w:pPr>
          </w:p>
        </w:tc>
        <w:tc>
          <w:tcPr>
            <w:tcW w:w="1570"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1828" w:type="dxa"/>
            <w:gridSpan w:val="3"/>
            <w:noWrap w:val="0"/>
            <w:vAlign w:val="top"/>
          </w:tcPr>
          <w:p>
            <w:pPr>
              <w:spacing w:line="360" w:lineRule="auto"/>
              <w:rPr>
                <w:rFonts w:ascii="宋体"/>
                <w:color w:val="000000"/>
                <w:sz w:val="24"/>
              </w:rPr>
            </w:pPr>
          </w:p>
        </w:tc>
        <w:tc>
          <w:tcPr>
            <w:tcW w:w="1807" w:type="dxa"/>
            <w:noWrap w:val="0"/>
            <w:vAlign w:val="top"/>
          </w:tcPr>
          <w:p>
            <w:pPr>
              <w:spacing w:line="360" w:lineRule="auto"/>
              <w:rPr>
                <w:rFonts w:ascii="宋体"/>
                <w:color w:val="000000"/>
                <w:sz w:val="24"/>
              </w:rPr>
            </w:pPr>
          </w:p>
        </w:tc>
        <w:tc>
          <w:tcPr>
            <w:tcW w:w="2357" w:type="dxa"/>
            <w:gridSpan w:val="2"/>
            <w:noWrap w:val="0"/>
            <w:vAlign w:val="top"/>
          </w:tcPr>
          <w:p>
            <w:pPr>
              <w:spacing w:line="360" w:lineRule="auto"/>
              <w:rPr>
                <w:rFonts w:ascii="宋体"/>
                <w:color w:val="000000"/>
                <w:sz w:val="24"/>
              </w:rPr>
            </w:pPr>
          </w:p>
        </w:tc>
        <w:tc>
          <w:tcPr>
            <w:tcW w:w="998" w:type="dxa"/>
            <w:noWrap w:val="0"/>
            <w:vAlign w:val="top"/>
          </w:tcPr>
          <w:p>
            <w:pPr>
              <w:spacing w:line="360" w:lineRule="auto"/>
              <w:rPr>
                <w:rFonts w:ascii="宋体"/>
                <w:color w:val="000000"/>
                <w:sz w:val="24"/>
              </w:rPr>
            </w:pPr>
          </w:p>
        </w:tc>
        <w:tc>
          <w:tcPr>
            <w:tcW w:w="1189" w:type="dxa"/>
            <w:noWrap w:val="0"/>
            <w:vAlign w:val="top"/>
          </w:tcPr>
          <w:p>
            <w:pPr>
              <w:spacing w:line="360" w:lineRule="auto"/>
              <w:rPr>
                <w:rFonts w:ascii="宋体"/>
                <w:color w:val="000000"/>
                <w:sz w:val="24"/>
              </w:rPr>
            </w:pPr>
          </w:p>
        </w:tc>
        <w:tc>
          <w:tcPr>
            <w:tcW w:w="1102" w:type="dxa"/>
            <w:noWrap w:val="0"/>
            <w:vAlign w:val="top"/>
          </w:tcPr>
          <w:p>
            <w:pPr>
              <w:spacing w:line="360" w:lineRule="auto"/>
              <w:rPr>
                <w:rFonts w:ascii="宋体"/>
                <w:color w:val="000000"/>
                <w:sz w:val="24"/>
              </w:rPr>
            </w:pPr>
          </w:p>
        </w:tc>
        <w:tc>
          <w:tcPr>
            <w:tcW w:w="1200" w:type="dxa"/>
            <w:gridSpan w:val="2"/>
            <w:noWrap w:val="0"/>
            <w:vAlign w:val="top"/>
          </w:tcPr>
          <w:p>
            <w:pPr>
              <w:spacing w:line="360" w:lineRule="auto"/>
              <w:rPr>
                <w:rFonts w:ascii="宋体"/>
                <w:color w:val="000000"/>
                <w:sz w:val="24"/>
              </w:rPr>
            </w:pPr>
          </w:p>
        </w:tc>
        <w:tc>
          <w:tcPr>
            <w:tcW w:w="1223" w:type="dxa"/>
            <w:gridSpan w:val="2"/>
            <w:noWrap w:val="0"/>
            <w:vAlign w:val="top"/>
          </w:tcPr>
          <w:p>
            <w:pPr>
              <w:spacing w:line="360" w:lineRule="auto"/>
              <w:rPr>
                <w:rFonts w:ascii="宋体"/>
                <w:color w:val="000000"/>
                <w:sz w:val="24"/>
              </w:rPr>
            </w:pPr>
          </w:p>
        </w:tc>
        <w:tc>
          <w:tcPr>
            <w:tcW w:w="1570"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3"/>
            <w:noWrap w:val="0"/>
            <w:vAlign w:val="center"/>
          </w:tcPr>
          <w:p>
            <w:pPr>
              <w:spacing w:line="360" w:lineRule="auto"/>
              <w:jc w:val="center"/>
              <w:rPr>
                <w:rFonts w:ascii="宋体"/>
                <w:b/>
                <w:color w:val="000000"/>
                <w:sz w:val="24"/>
              </w:rPr>
            </w:pPr>
          </w:p>
        </w:tc>
        <w:tc>
          <w:tcPr>
            <w:tcW w:w="2357" w:type="dxa"/>
            <w:gridSpan w:val="2"/>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gridSpan w:val="2"/>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pStyle w:val="2"/>
        <w:rPr>
          <w:rFonts w:hint="eastAsia"/>
        </w:rPr>
        <w:sectPr>
          <w:pgSz w:w="16838" w:h="11906" w:orient="landscape"/>
          <w:pgMar w:top="1800" w:right="1440" w:bottom="1800" w:left="1440" w:header="851" w:footer="992" w:gutter="0"/>
          <w:cols w:space="425" w:num="1"/>
          <w:docGrid w:type="lines" w:linePitch="312" w:charSpace="0"/>
        </w:sectPr>
      </w:pPr>
    </w:p>
    <w:p>
      <w:pPr>
        <w:pStyle w:val="2"/>
      </w:pPr>
    </w:p>
    <w:p>
      <w:pPr>
        <w:pStyle w:val="3"/>
        <w:rPr>
          <w:rFonts w:ascii="宋体" w:hAnsi="宋体"/>
          <w:b w:val="0"/>
          <w:color w:val="000000"/>
          <w:sz w:val="21"/>
          <w:szCs w:val="21"/>
        </w:rPr>
      </w:pPr>
      <w:bookmarkStart w:id="4" w:name="_Toc29319"/>
      <w:bookmarkStart w:id="5" w:name="_Toc34991466"/>
      <w:r>
        <w:rPr>
          <w:rFonts w:hint="eastAsia" w:ascii="宋体" w:hAnsi="宋体"/>
          <w:b w:val="0"/>
          <w:color w:val="000000"/>
          <w:sz w:val="21"/>
          <w:szCs w:val="21"/>
        </w:rPr>
        <w:t>附件</w:t>
      </w:r>
      <w:r>
        <w:rPr>
          <w:rFonts w:hint="eastAsia" w:ascii="宋体" w:hAnsi="宋体"/>
          <w:b w:val="0"/>
          <w:color w:val="000000"/>
          <w:sz w:val="21"/>
          <w:szCs w:val="21"/>
          <w:lang w:val="en-US" w:eastAsia="zh-CN"/>
        </w:rPr>
        <w:t>3</w:t>
      </w:r>
      <w:r>
        <w:rPr>
          <w:rFonts w:hint="eastAsia" w:ascii="宋体" w:hAnsi="宋体"/>
          <w:b w:val="0"/>
          <w:color w:val="000000"/>
          <w:sz w:val="21"/>
          <w:szCs w:val="21"/>
        </w:rPr>
        <w:t>：法定代表人资格证明</w:t>
      </w:r>
      <w:bookmarkEnd w:id="4"/>
      <w:bookmarkEnd w:id="5"/>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left="0" w:leftChars="0" w:firstLine="2100" w:firstLineChars="75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left="0" w:leftChars="0" w:firstLine="2100" w:firstLineChars="75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pStyle w:val="3"/>
        <w:rPr>
          <w:color w:val="000000"/>
          <w:sz w:val="21"/>
          <w:szCs w:val="24"/>
        </w:rPr>
      </w:pPr>
      <w:bookmarkStart w:id="6" w:name="_Toc34991467"/>
      <w:bookmarkStart w:id="7" w:name="_Toc13075"/>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2404110</wp:posOffset>
                </wp:positionH>
                <wp:positionV relativeFrom="paragraph">
                  <wp:posOffset>1051560</wp:posOffset>
                </wp:positionV>
                <wp:extent cx="2548255" cy="2437765"/>
                <wp:effectExtent l="4445" t="4445" r="9525" b="571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9.3pt;margin-top:82.8pt;height:191.95pt;width:200.65pt;z-index:251661312;mso-width-relative:page;mso-height-relative:page;" fillcolor="#FFFFFF" filled="t" stroked="t" coordsize="21600,21600" o:gfxdata="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MhrK/ZAAAACwEAAA8AAAAAAAAA&#10;AQAgAAAAIgAAAGRycy9kb3ducmV2LnhtbFBLAQIUABQAAAAIAIdO4kBOq2EeSQIAAJYEAAAOAAAA&#10;AAAAAAEAIAAAACgBAABkcnMvZTJvRG9jLnhtbFBLBQYAAAAABgAGAFkBAADjBQ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9525" b="571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8TkJ2gAAAAsBAAAPAAAAAAAA&#10;AAEAIAAAACIAAABkcnMvZG93bnJldi54bWxQSwECFAAUAAAACACHTuJAb9MtuEkCAACWBAAADgAA&#10;AAAAAAABACAAAAApAQAAZHJzL2Uyb0RvYy54bWxQSwUGAAAAAAYABgBZAQAA5AU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p>
    <w:p>
      <w:pPr>
        <w:pStyle w:val="3"/>
        <w:rPr>
          <w:color w:val="000000"/>
          <w:sz w:val="21"/>
          <w:szCs w:val="24"/>
        </w:rPr>
      </w:pPr>
    </w:p>
    <w:p>
      <w:pPr>
        <w:rPr>
          <w:color w:val="000000"/>
          <w:sz w:val="21"/>
          <w:szCs w:val="24"/>
        </w:rPr>
      </w:pPr>
    </w:p>
    <w:p>
      <w:pPr>
        <w:pStyle w:val="2"/>
        <w:rPr>
          <w:color w:val="000000"/>
          <w:sz w:val="21"/>
          <w:szCs w:val="24"/>
        </w:rPr>
      </w:pPr>
    </w:p>
    <w:p>
      <w:pPr>
        <w:pStyle w:val="3"/>
        <w:rPr>
          <w:rFonts w:hint="eastAsia" w:ascii="宋体" w:hAnsi="宋体"/>
          <w:b w:val="0"/>
          <w:color w:val="000000"/>
          <w:sz w:val="21"/>
          <w:szCs w:val="21"/>
        </w:rPr>
      </w:pPr>
    </w:p>
    <w:p>
      <w:pPr>
        <w:rPr>
          <w:rFonts w:hint="eastAsia" w:ascii="宋体" w:hAnsi="宋体"/>
          <w:b w:val="0"/>
          <w:color w:val="000000"/>
          <w:sz w:val="21"/>
          <w:szCs w:val="21"/>
        </w:rPr>
      </w:pPr>
    </w:p>
    <w:p>
      <w:pPr>
        <w:pStyle w:val="2"/>
        <w:rPr>
          <w:rFonts w:hint="eastAsia"/>
        </w:rPr>
      </w:pPr>
    </w:p>
    <w:p>
      <w:pPr>
        <w:pStyle w:val="3"/>
        <w:rPr>
          <w:color w:val="000000"/>
        </w:rPr>
      </w:pPr>
      <w:r>
        <w:rPr>
          <w:rFonts w:hint="eastAsia" w:ascii="宋体" w:hAnsi="宋体"/>
          <w:b w:val="0"/>
          <w:color w:val="000000"/>
          <w:sz w:val="21"/>
          <w:szCs w:val="21"/>
        </w:rPr>
        <w:t>附件</w:t>
      </w:r>
      <w:r>
        <w:rPr>
          <w:rFonts w:hint="eastAsia" w:ascii="宋体" w:hAnsi="宋体"/>
          <w:b w:val="0"/>
          <w:color w:val="000000"/>
          <w:sz w:val="21"/>
          <w:szCs w:val="21"/>
          <w:lang w:val="en-US" w:eastAsia="zh-CN"/>
        </w:rPr>
        <w:t>4</w:t>
      </w:r>
      <w:r>
        <w:rPr>
          <w:rFonts w:hint="eastAsia" w:ascii="宋体" w:hAnsi="宋体"/>
          <w:b w:val="0"/>
          <w:color w:val="000000"/>
          <w:sz w:val="21"/>
          <w:szCs w:val="21"/>
        </w:rPr>
        <w:t>：法定代表人授权书</w:t>
      </w:r>
      <w:bookmarkEnd w:id="6"/>
      <w:bookmarkEnd w:id="7"/>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left="0" w:leftChars="0" w:firstLine="2738" w:firstLineChars="978"/>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left="0" w:leftChars="0" w:firstLine="2738" w:firstLineChars="978"/>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ikJaNkAAAAKAQAADwAAAAAA&#10;AAABACAAAAAiAAAAZHJzL2Rvd25yZXYueG1sUEsBAhQAFAAAAAgAh07iQG/fm6FLAgAAlgQAAA4A&#10;AAAAAAAAAQAgAAAAKAEAAGRycy9lMm9Eb2MueG1sUEsFBgAAAAAGAAYAWQEAAOUFA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BOp9cH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1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pStyle w:val="2"/>
        <w:ind w:left="0" w:leftChars="0" w:firstLine="0" w:firstLineChars="0"/>
        <w:rPr>
          <w:rFonts w:hint="eastAsia"/>
        </w:rPr>
      </w:pPr>
    </w:p>
    <w:sectPr>
      <w:pgSz w:w="11906" w:h="16838"/>
      <w:pgMar w:top="1440" w:right="1800" w:bottom="178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7A"/>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28</w:t>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28</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2387600</wp:posOffset>
              </wp:positionH>
              <wp:positionV relativeFrom="paragraph">
                <wp:posOffset>-28575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188pt;margin-top:-2.25pt;height:144pt;width:144pt;mso-position-horizontal-relative:margin;mso-wrap-style:none;z-index:251659264;mso-width-relative:page;mso-height-relative:page;" filled="f" stroked="f" coordsize="21600,21600" o:gfxdata="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cfUYdcAAAAKAQAADwAAAAAAAAABACAAAAAiAAAAZHJzL2Rv&#10;d25yZXYueG1sUEsBAhQAFAAAAAgAh07iQCQ5IxHJAQAAmQMAAA4AAAAAAAAAAQAgAAAAJgEAAGRy&#10;cy9lMm9Eb2MueG1sUEsFBgAAAAAGAAYAWQEAAGEFAAAAAA==&#10;">
              <v:fill on="f" focussize="0,0"/>
              <v:stroke on="f"/>
              <v:imagedata o:title=""/>
              <o:lock v:ext="edit" aspectratio="f"/>
              <v:textbox inset="0mm,0mm,0mm,0mm" style="mso-fit-shape-to-text:t;">
                <w:txbxContent>
                  <w:p>
                    <w:pPr>
                      <w:pStyle w:val="4"/>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Fonts w:hint="eastAsia" w:eastAsia="宋体"/>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F2DB6"/>
    <w:multiLevelType w:val="singleLevel"/>
    <w:tmpl w:val="048F2DB6"/>
    <w:lvl w:ilvl="0" w:tentative="0">
      <w:start w:val="1"/>
      <w:numFmt w:val="chineseCounting"/>
      <w:suff w:val="nothing"/>
      <w:lvlText w:val="%1、"/>
      <w:lvlJc w:val="left"/>
      <w:pPr>
        <w:ind w:left="320"/>
      </w:pPr>
      <w:rPr>
        <w:rFonts w:hint="eastAsia"/>
      </w:rPr>
    </w:lvl>
  </w:abstractNum>
  <w:abstractNum w:abstractNumId="1">
    <w:nsid w:val="6950DB89"/>
    <w:multiLevelType w:val="singleLevel"/>
    <w:tmpl w:val="6950DB89"/>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MDk3MjVkYjQ0YmQ1MzU0MTFkZTQ5NzdjNjMwM2UifQ=="/>
  </w:docVars>
  <w:rsids>
    <w:rsidRoot w:val="7BD57EC6"/>
    <w:rsid w:val="0F205179"/>
    <w:rsid w:val="10CF43D3"/>
    <w:rsid w:val="140C2ECB"/>
    <w:rsid w:val="14215C1B"/>
    <w:rsid w:val="18E611E1"/>
    <w:rsid w:val="1D3C4D0B"/>
    <w:rsid w:val="2645007F"/>
    <w:rsid w:val="26927D17"/>
    <w:rsid w:val="2BC82F3A"/>
    <w:rsid w:val="2D9164A7"/>
    <w:rsid w:val="33574CDF"/>
    <w:rsid w:val="343B3B9E"/>
    <w:rsid w:val="47764B1F"/>
    <w:rsid w:val="50AA7E30"/>
    <w:rsid w:val="529A3401"/>
    <w:rsid w:val="58D97E3F"/>
    <w:rsid w:val="59802383"/>
    <w:rsid w:val="72DA3691"/>
    <w:rsid w:val="7BD57EC6"/>
    <w:rsid w:val="7C28750A"/>
    <w:rsid w:val="7D036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cs="Times New Roman"/>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spacing w:before="100" w:beforeAutospacing="1" w:after="200" w:line="273" w:lineRule="auto"/>
      <w:ind w:left="720"/>
      <w:contextualSpacing/>
    </w:pPr>
    <w:rPr>
      <w:rFonts w:ascii="Calibri" w:hAnsi="Calibri" w:eastAsia="宋体" w:cs="Times New Roman"/>
      <w:sz w:val="22"/>
      <w:szCs w:val="22"/>
    </w:rPr>
  </w:style>
  <w:style w:type="paragraph" w:styleId="4">
    <w:name w:val="footer"/>
    <w:basedOn w:val="1"/>
    <w:qFormat/>
    <w:uiPriority w:val="0"/>
    <w:pPr>
      <w:tabs>
        <w:tab w:val="center" w:pos="4153"/>
        <w:tab w:val="right" w:pos="8306"/>
      </w:tabs>
      <w:snapToGrid w:val="0"/>
      <w:jc w:val="left"/>
    </w:pPr>
    <w:rPr>
      <w:rFonts w:ascii="Calibri" w:hAnsi="Calibri" w:eastAsia="宋体" w:cs="Times New Roman"/>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kern w:val="0"/>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rPr>
      <w:rFonts w:ascii="Times New Roman" w:hAnsi="Times New Roman" w:eastAsia="宋体" w:cs="Times New Roman"/>
    </w:rPr>
  </w:style>
  <w:style w:type="character" w:styleId="11">
    <w:name w:val="Hyperlink"/>
    <w:basedOn w:val="8"/>
    <w:qFormat/>
    <w:uiPriority w:val="0"/>
    <w:rPr>
      <w:color w:val="0000FF"/>
      <w:u w:val="single"/>
    </w:rPr>
  </w:style>
  <w:style w:type="paragraph" w:customStyle="1" w:styleId="12">
    <w:name w:val="reader-word-layer"/>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5469</Words>
  <Characters>5924</Characters>
  <Lines>0</Lines>
  <Paragraphs>0</Paragraphs>
  <TotalTime>1</TotalTime>
  <ScaleCrop>false</ScaleCrop>
  <LinksUpToDate>false</LinksUpToDate>
  <CharactersWithSpaces>6713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2023-03-05T10:35:00Z</dcterms:created>
  <dc:creator>梧桐雨</dc:creator>
  <cp:lastModifiedBy>阿诺多罗</cp:lastModifiedBy>
  <cp:lastPrinted>2023-03-06T06:24:00Z</cp:lastPrinted>
  <dcterms:modified xsi:type="dcterms:W3CDTF">2023-05-15T00:28:31Z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BC1A9080CF444010AB38D37B2850DC5F_13</vt:lpwstr>
  </property>
</Properties>
</file>