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3"/>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3"/>
        <w:rPr>
          <w:rFonts w:ascii="宋体" w:hAnsi="宋体" w:cs="宋体"/>
          <w:sz w:val="24"/>
          <w:szCs w:val="24"/>
        </w:rPr>
      </w:pPr>
    </w:p>
    <w:p w14:paraId="07F7647B">
      <w:pPr>
        <w:pStyle w:val="23"/>
        <w:rPr>
          <w:rFonts w:ascii="宋体" w:hAnsi="宋体" w:cs="宋体"/>
          <w:sz w:val="24"/>
          <w:szCs w:val="24"/>
        </w:rPr>
      </w:pPr>
    </w:p>
    <w:p w14:paraId="54F101FB">
      <w:pPr>
        <w:pStyle w:val="23"/>
        <w:rPr>
          <w:rFonts w:ascii="宋体" w:hAnsi="宋体" w:cs="宋体"/>
          <w:sz w:val="24"/>
          <w:szCs w:val="24"/>
        </w:rPr>
      </w:pPr>
    </w:p>
    <w:p w14:paraId="67B44428">
      <w:pPr>
        <w:pStyle w:val="23"/>
        <w:rPr>
          <w:rFonts w:ascii="宋体" w:hAnsi="宋体" w:cs="宋体"/>
          <w:sz w:val="24"/>
          <w:szCs w:val="24"/>
        </w:rPr>
      </w:pPr>
    </w:p>
    <w:p w14:paraId="5290FA9C">
      <w:pPr>
        <w:pStyle w:val="23"/>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管弦乐团乐器采购</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ZCZB2025020</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3"/>
        <w:rPr>
          <w:rFonts w:hint="eastAsia" w:asciiTheme="majorEastAsia" w:hAnsiTheme="majorEastAsia" w:eastAsiaTheme="majorEastAsia" w:cstheme="majorEastAsia"/>
          <w:b/>
          <w:bCs/>
          <w:sz w:val="32"/>
          <w:szCs w:val="32"/>
          <w:highlight w:val="none"/>
        </w:rPr>
      </w:pPr>
    </w:p>
    <w:p w14:paraId="19E12045">
      <w:pPr>
        <w:pStyle w:val="23"/>
        <w:rPr>
          <w:rFonts w:hint="eastAsia" w:asciiTheme="majorEastAsia" w:hAnsiTheme="majorEastAsia" w:eastAsiaTheme="majorEastAsia" w:cstheme="majorEastAsia"/>
          <w:b/>
          <w:bCs/>
          <w:sz w:val="32"/>
          <w:szCs w:val="32"/>
          <w:highlight w:val="none"/>
        </w:rPr>
      </w:pPr>
    </w:p>
    <w:p w14:paraId="11286521">
      <w:pPr>
        <w:pStyle w:val="23"/>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年</w:t>
      </w:r>
      <w:r>
        <w:rPr>
          <w:rFonts w:hint="eastAsia" w:ascii="黑体" w:hAnsi="黑体" w:eastAsia="黑体" w:cs="黑体"/>
          <w:b/>
          <w:bCs/>
          <w:sz w:val="32"/>
          <w:szCs w:val="32"/>
          <w:highlight w:val="none"/>
          <w:lang w:val="en-US" w:eastAsia="zh-CN"/>
        </w:rPr>
        <w:t>3</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管弦乐团乐器</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78BF0E46">
      <w:pPr>
        <w:spacing w:line="360" w:lineRule="exact"/>
        <w:ind w:left="-1" w:firstLine="480" w:firstLineChars="200"/>
        <w:rPr>
          <w:rFonts w:hint="eastAsia" w:ascii="宋体" w:hAnsi="宋体" w:cs="宋体"/>
          <w:color w:val="auto"/>
          <w:sz w:val="24"/>
          <w:szCs w:val="24"/>
          <w:lang w:val="en-US" w:eastAsia="zh-CN"/>
        </w:rPr>
      </w:pPr>
      <w:r>
        <w:rPr>
          <w:rFonts w:hint="eastAsia" w:ascii="宋体" w:hAnsi="宋体" w:eastAsia="宋体" w:cs="宋体"/>
          <w:sz w:val="24"/>
          <w:szCs w:val="24"/>
        </w:rPr>
        <w:t>1、项目名称：</w:t>
      </w:r>
      <w:r>
        <w:rPr>
          <w:rFonts w:hint="eastAsia" w:ascii="宋体" w:hAnsi="宋体" w:cs="宋体"/>
          <w:sz w:val="24"/>
          <w:szCs w:val="24"/>
          <w:lang w:val="en-US" w:eastAsia="zh-CN"/>
        </w:rPr>
        <w:t>南通理工学院管弦乐团乐器</w:t>
      </w:r>
      <w:r>
        <w:rPr>
          <w:rFonts w:hint="eastAsia" w:ascii="宋体" w:hAnsi="宋体" w:cs="宋体"/>
          <w:color w:val="auto"/>
          <w:sz w:val="24"/>
          <w:szCs w:val="24"/>
          <w:lang w:val="en-US" w:eastAsia="zh-CN"/>
        </w:rPr>
        <w:t>采购</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74CB3C8E">
      <w:pPr>
        <w:pStyle w:val="2"/>
        <w:rPr>
          <w:rFonts w:hint="default" w:eastAsia="宋体"/>
          <w:color w:val="0000FF"/>
          <w:lang w:val="en-US" w:eastAsia="zh-CN"/>
        </w:rPr>
      </w:pPr>
      <w:r>
        <w:rPr>
          <w:rFonts w:hint="eastAsia" w:ascii="宋体" w:hAnsi="宋体" w:cs="宋体"/>
          <w:color w:val="0000FF"/>
          <w:sz w:val="24"/>
          <w:szCs w:val="24"/>
          <w:lang w:val="en-US" w:eastAsia="zh-CN"/>
        </w:rPr>
        <w:t>本次采购的乐器包含弦乐组、管乐组、打击乐组。</w:t>
      </w:r>
    </w:p>
    <w:p w14:paraId="6C5F2A15">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w:t>
      </w: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rPr>
        <w:t>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w:t>
      </w:r>
    </w:p>
    <w:p w14:paraId="7F9D1A15">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w:t>
      </w:r>
      <w:r>
        <w:rPr>
          <w:rFonts w:hint="eastAsia" w:ascii="宋体" w:hAnsi="宋体" w:cs="宋体"/>
          <w:color w:val="0070C0"/>
          <w:spacing w:val="3"/>
          <w:sz w:val="24"/>
          <w:szCs w:val="24"/>
          <w:lang w:val="en-US" w:eastAsia="zh-CN"/>
          <w14:textOutline w14:w="4354" w14:cap="flat" w14:cmpd="sng">
            <w14:solidFill>
              <w14:srgbClr w14:val="000000"/>
            </w14:solidFill>
            <w14:prstDash w14:val="solid"/>
            <w14:miter w14:val="0"/>
          </w14:textOutline>
        </w:rPr>
        <w:t>15天</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38DAE574">
      <w:pPr>
        <w:spacing w:line="360" w:lineRule="exact"/>
        <w:ind w:left="-1" w:firstLine="480" w:firstLineChars="200"/>
        <w:rPr>
          <w:rFonts w:hint="eastAsia" w:ascii="宋体" w:hAnsi="宋体" w:eastAsia="宋体" w:cs="宋体"/>
          <w:color w:val="0000FF"/>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0000FF"/>
          <w:sz w:val="24"/>
          <w:szCs w:val="24"/>
        </w:rPr>
        <w:t>具备履行合同所必需的设备和专业技术能力。■供应商自行提供具备履行合同所必需的设备和专业技术能力的承诺书；</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、供应商不得存在下列情况之一：</w:t>
      </w:r>
    </w:p>
    <w:p w14:paraId="5B93FE8B">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）”网站列入失信执行人、税收违法案件当事人名单、政府采购违法失信行为记录名单（处罚期限尚未届满）。</w:t>
      </w:r>
    </w:p>
    <w:p w14:paraId="031B879F">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30</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5"/>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5"/>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5"/>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5"/>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7F69B4C">
      <w:pPr>
        <w:pStyle w:val="15"/>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技术咨询：赵老师 13585224265</w:t>
      </w:r>
    </w:p>
    <w:p w14:paraId="5FC5BF6F">
      <w:pPr>
        <w:pStyle w:val="15"/>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5"/>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016CB5">
      <w:pPr>
        <w:snapToGrid w:val="0"/>
        <w:spacing w:line="360" w:lineRule="exact"/>
        <w:ind w:firstLine="480" w:firstLineChars="200"/>
        <w:rPr>
          <w:rFonts w:ascii="宋体" w:hAnsi="宋体"/>
          <w:b/>
          <w:bCs/>
          <w:sz w:val="30"/>
          <w:szCs w:val="30"/>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eastAsia" w:ascii="Times New Roman" w:hAnsi="Times New Roman" w:cs="Times New Roman"/>
          <w:sz w:val="24"/>
          <w:lang w:val="en-US" w:eastAsia="zh-CN"/>
        </w:rPr>
      </w:pPr>
      <w:r>
        <w:rPr>
          <w:rFonts w:hint="eastAsia"/>
          <w:sz w:val="24"/>
          <w:lang w:val="en-US" w:eastAsia="zh-CN"/>
        </w:rPr>
        <w:t>（7）近一年投标单位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1A672D5E">
      <w:pPr>
        <w:numPr>
          <w:ilvl w:val="0"/>
          <w:numId w:val="0"/>
        </w:numPr>
        <w:spacing w:line="360" w:lineRule="auto"/>
        <w:ind w:left="482" w:leftChars="0"/>
        <w:rPr>
          <w:rFonts w:hint="eastAsia" w:ascii="黑体" w:eastAsia="黑体"/>
          <w:b/>
          <w:color w:val="auto"/>
          <w:sz w:val="24"/>
          <w:lang w:val="en-US" w:eastAsia="zh-CN"/>
        </w:rPr>
      </w:pPr>
      <w:r>
        <w:rPr>
          <w:rFonts w:hint="eastAsia" w:ascii="Times New Roman" w:hAnsi="Times New Roman" w:eastAsia="宋体" w:cs="Times New Roman"/>
          <w:sz w:val="24"/>
          <w:lang w:val="en-US" w:eastAsia="zh-CN"/>
        </w:rPr>
        <w:t>（8）</w:t>
      </w:r>
      <w:r>
        <w:rPr>
          <w:rFonts w:hint="eastAsia"/>
          <w:color w:val="0070C0"/>
          <w:sz w:val="24"/>
          <w:lang w:eastAsia="zh-CN"/>
        </w:rPr>
        <w:t>货物非生产厂家投标需提供生产厂家（或全国总代、全国独代）出具的销售代理授权书或本项目的专项投标授权书（</w:t>
      </w:r>
      <w:r>
        <w:rPr>
          <w:rFonts w:hint="eastAsia"/>
          <w:color w:val="0070C0"/>
          <w:sz w:val="24"/>
          <w:lang w:val="en-US" w:eastAsia="zh-CN"/>
        </w:rPr>
        <w:t>或</w:t>
      </w:r>
      <w:r>
        <w:rPr>
          <w:rFonts w:hint="eastAsia" w:ascii="黑体" w:eastAsia="黑体"/>
          <w:b/>
          <w:color w:val="auto"/>
          <w:sz w:val="24"/>
          <w:lang w:val="en-US" w:eastAsia="zh-CN"/>
        </w:rPr>
        <w:t>投标人提供在中标后设备生产单位的产品授权书和质保函的相关承诺书）</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keepNext w:val="0"/>
        <w:keepLines w:val="0"/>
        <w:widowControl/>
        <w:suppressLineNumbers w:val="0"/>
        <w:jc w:val="left"/>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color w:val="0000FF"/>
          <w:sz w:val="24"/>
          <w:lang w:val="en-US" w:eastAsia="zh-CN"/>
        </w:rPr>
        <w:t>所提供货物的运输（含保险）、装卸、安装（如有）、调试、检验、技术服务、培训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C8CBB6D">
      <w:pPr>
        <w:keepNext w:val="0"/>
        <w:keepLines w:val="0"/>
        <w:widowControl/>
        <w:suppressLineNumbers w:val="0"/>
        <w:ind w:firstLine="480" w:firstLineChars="200"/>
        <w:jc w:val="left"/>
        <w:rPr>
          <w:rFonts w:hint="eastAsia"/>
          <w:color w:val="0000FF"/>
          <w:sz w:val="24"/>
          <w:lang w:val="en-GB"/>
        </w:rPr>
      </w:pPr>
      <w:r>
        <w:rPr>
          <w:rFonts w:hint="eastAsia"/>
          <w:sz w:val="24"/>
          <w:lang w:eastAsia="zh-CN"/>
        </w:rPr>
        <w:t>（</w:t>
      </w:r>
      <w:r>
        <w:rPr>
          <w:rFonts w:hint="eastAsia"/>
          <w:sz w:val="24"/>
          <w:lang w:val="en-US" w:eastAsia="zh-CN"/>
        </w:rPr>
        <w:t>3</w:t>
      </w:r>
      <w:r>
        <w:rPr>
          <w:rFonts w:hint="eastAsia"/>
          <w:sz w:val="24"/>
          <w:lang w:eastAsia="zh-CN"/>
        </w:rPr>
        <w:t>）</w:t>
      </w:r>
      <w:r>
        <w:rPr>
          <w:rFonts w:hint="eastAsia"/>
          <w:color w:val="0000FF"/>
          <w:sz w:val="24"/>
          <w:lang w:val="en-US" w:eastAsia="zh-CN"/>
        </w:rPr>
        <w:t>投标报价应列明投标货物的名称、产地、制造厂商、品牌、型号、详细规格、交货期等。投标人应在投标分项报价表上标明投标货物/服务的单价和总价。</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ascii="黑体" w:hAnsi="黑体" w:eastAsia="黑体" w:cs="黑体"/>
          <w:b/>
          <w:bCs/>
          <w:sz w:val="24"/>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6"/>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color w:val="auto"/>
                <w:szCs w:val="21"/>
                <w:lang w:val="en-US" w:eastAsia="zh-CN"/>
              </w:rPr>
              <w:t>35</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35</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28</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5"/>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5"/>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w:t>
            </w:r>
            <w:r>
              <w:rPr>
                <w:rFonts w:hint="eastAsia" w:ascii="Times New Roman" w:hAnsi="Times New Roman" w:cs="Times New Roman"/>
                <w:b/>
                <w:bCs/>
                <w:kern w:val="2"/>
                <w:sz w:val="21"/>
                <w:szCs w:val="21"/>
                <w:lang w:val="en-US" w:eastAsia="zh-CN" w:bidi="ar-SA"/>
              </w:rPr>
              <w:t>照搬技术要求每项扣10分，扣完为止。</w:t>
            </w:r>
          </w:p>
          <w:p w14:paraId="518B5738">
            <w:pPr>
              <w:pStyle w:val="5"/>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974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7BA4695C">
            <w:pPr>
              <w:spacing w:line="360" w:lineRule="auto"/>
              <w:jc w:val="center"/>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sz w:val="21"/>
                <w:szCs w:val="21"/>
                <w:highlight w:val="none"/>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1C5B3ECE">
            <w:pPr>
              <w:spacing w:line="360" w:lineRule="auto"/>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4049" w:type="pct"/>
            <w:tcBorders>
              <w:top w:val="single" w:color="auto" w:sz="4" w:space="0"/>
              <w:left w:val="single" w:color="auto" w:sz="4" w:space="0"/>
              <w:bottom w:val="single" w:color="auto" w:sz="4" w:space="0"/>
              <w:right w:val="single" w:color="auto" w:sz="4" w:space="0"/>
            </w:tcBorders>
            <w:shd w:val="clear" w:color="auto" w:fill="auto"/>
            <w:vAlign w:val="center"/>
          </w:tcPr>
          <w:p w14:paraId="41DE4BB8">
            <w:pPr>
              <w:numPr>
                <w:ilvl w:val="0"/>
                <w:numId w:val="0"/>
              </w:numPr>
              <w:spacing w:line="240" w:lineRule="auto"/>
              <w:rPr>
                <w:rFonts w:hint="default" w:eastAsia="宋体"/>
                <w:color w:val="auto"/>
                <w:szCs w:val="21"/>
                <w:highlight w:val="none"/>
                <w:lang w:val="en-US" w:eastAsia="zh-CN"/>
              </w:rPr>
            </w:pPr>
            <w:r>
              <w:rPr>
                <w:rFonts w:hint="eastAsia"/>
                <w:color w:val="auto"/>
                <w:szCs w:val="21"/>
                <w:highlight w:val="none"/>
              </w:rPr>
              <w:t>投标人应具有</w:t>
            </w:r>
            <w:r>
              <w:rPr>
                <w:rFonts w:hint="eastAsia"/>
                <w:color w:val="auto"/>
                <w:szCs w:val="21"/>
                <w:highlight w:val="none"/>
                <w:lang w:val="en-US" w:eastAsia="zh-CN"/>
              </w:rPr>
              <w:t>相应</w:t>
            </w:r>
            <w:r>
              <w:rPr>
                <w:rFonts w:hint="eastAsia" w:ascii="黑体" w:hAnsi="黑体" w:eastAsia="黑体" w:cs="黑体"/>
                <w:b/>
                <w:bCs/>
                <w:color w:val="auto"/>
                <w:szCs w:val="21"/>
                <w:highlight w:val="none"/>
                <w:lang w:val="en-US" w:eastAsia="zh-CN"/>
              </w:rPr>
              <w:t>资质证书</w:t>
            </w:r>
            <w:r>
              <w:rPr>
                <w:rFonts w:hint="eastAsia"/>
                <w:color w:val="auto"/>
                <w:szCs w:val="21"/>
                <w:highlight w:val="none"/>
              </w:rPr>
              <w:t>。提供</w:t>
            </w:r>
            <w:r>
              <w:rPr>
                <w:rFonts w:hint="eastAsia"/>
                <w:color w:val="auto"/>
                <w:szCs w:val="21"/>
                <w:highlight w:val="none"/>
                <w:lang w:val="en-US" w:eastAsia="zh-CN"/>
              </w:rPr>
              <w:t>一项</w:t>
            </w:r>
            <w:r>
              <w:rPr>
                <w:rFonts w:hint="eastAsia"/>
                <w:color w:val="auto"/>
                <w:szCs w:val="21"/>
                <w:highlight w:val="none"/>
              </w:rPr>
              <w:t>得1分，未提供不得分。 需提供有关证书复印件并加盖公章。</w:t>
            </w:r>
            <w:r>
              <w:rPr>
                <w:rFonts w:hint="eastAsia"/>
                <w:color w:val="auto"/>
                <w:szCs w:val="21"/>
                <w:highlight w:val="none"/>
                <w:lang w:val="en-US" w:eastAsia="zh-CN"/>
              </w:rPr>
              <w:t>最多得5分。</w:t>
            </w:r>
          </w:p>
          <w:p w14:paraId="4976364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color w:val="auto"/>
                <w:szCs w:val="21"/>
                <w:highlight w:val="none"/>
                <w:lang w:eastAsia="zh-CN"/>
              </w:rPr>
            </w:pPr>
            <w:r>
              <w:rPr>
                <w:rFonts w:hint="eastAsia"/>
                <w:b/>
                <w:bCs/>
                <w:color w:val="auto"/>
                <w:szCs w:val="21"/>
                <w:highlight w:val="none"/>
              </w:rPr>
              <w:t>投标人施工团队成员</w:t>
            </w:r>
            <w:r>
              <w:rPr>
                <w:rFonts w:hint="eastAsia"/>
                <w:b/>
                <w:bCs/>
                <w:color w:val="auto"/>
                <w:szCs w:val="21"/>
                <w:highlight w:val="none"/>
                <w:lang w:val="en-US" w:eastAsia="zh-CN"/>
              </w:rPr>
              <w:t>具有相应资质证书的</w:t>
            </w:r>
            <w:r>
              <w:rPr>
                <w:rFonts w:hint="eastAsia"/>
                <w:color w:val="auto"/>
                <w:szCs w:val="21"/>
                <w:highlight w:val="none"/>
                <w:lang w:val="en-US" w:eastAsia="zh-CN"/>
              </w:rPr>
              <w:t>，</w:t>
            </w:r>
            <w:r>
              <w:rPr>
                <w:rFonts w:hint="eastAsia"/>
                <w:color w:val="auto"/>
                <w:szCs w:val="21"/>
                <w:highlight w:val="none"/>
              </w:rPr>
              <w:t>每份得1分，最高得</w:t>
            </w:r>
            <w:r>
              <w:rPr>
                <w:rFonts w:hint="eastAsia"/>
                <w:color w:val="auto"/>
                <w:szCs w:val="21"/>
                <w:highlight w:val="none"/>
                <w:lang w:val="en-US" w:eastAsia="zh-CN"/>
              </w:rPr>
              <w:t>3</w:t>
            </w:r>
            <w:r>
              <w:rPr>
                <w:rFonts w:hint="eastAsia"/>
                <w:color w:val="auto"/>
                <w:szCs w:val="21"/>
                <w:highlight w:val="none"/>
              </w:rPr>
              <w:t>分，不提供不得分</w:t>
            </w:r>
            <w:r>
              <w:rPr>
                <w:rFonts w:hint="eastAsia"/>
                <w:color w:val="auto"/>
                <w:szCs w:val="21"/>
                <w:highlight w:val="none"/>
                <w:lang w:eastAsia="zh-CN"/>
              </w:rPr>
              <w:t>。</w:t>
            </w:r>
          </w:p>
          <w:p w14:paraId="74CC0BB4">
            <w:pPr>
              <w:spacing w:line="240" w:lineRule="auto"/>
              <w:rPr>
                <w:rFonts w:hint="eastAsia"/>
                <w:color w:val="auto"/>
                <w:szCs w:val="21"/>
                <w:highlight w:val="none"/>
              </w:rPr>
            </w:pPr>
            <w:r>
              <w:rPr>
                <w:rFonts w:hint="eastAsia"/>
                <w:color w:val="auto"/>
                <w:szCs w:val="21"/>
                <w:highlight w:val="none"/>
              </w:rPr>
              <w:t>提供有效证书，未提供不得分，证书须在有效期之内；</w:t>
            </w:r>
          </w:p>
          <w:p w14:paraId="34DE3174">
            <w:pPr>
              <w:spacing w:line="240" w:lineRule="auto"/>
              <w:rPr>
                <w:rFonts w:hint="eastAsia"/>
                <w:color w:val="auto"/>
                <w:szCs w:val="21"/>
                <w:highlight w:val="none"/>
              </w:rPr>
            </w:pPr>
            <w:r>
              <w:rPr>
                <w:rFonts w:hint="eastAsia"/>
                <w:b/>
                <w:bCs/>
                <w:color w:val="auto"/>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 w:val="21"/>
                <w:szCs w:val="21"/>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auto"/>
                <w:kern w:val="2"/>
                <w:sz w:val="21"/>
                <w:szCs w:val="21"/>
                <w:lang w:val="en-US" w:eastAsia="zh-CN" w:bidi="ar-SA"/>
              </w:rPr>
            </w:pPr>
            <w:r>
              <w:rPr>
                <w:rFonts w:hint="eastAsia"/>
                <w:color w:val="auto"/>
                <w:szCs w:val="21"/>
                <w:lang w:val="zh-TW" w:eastAsia="zh-TW"/>
              </w:rPr>
              <w:t>根据</w:t>
            </w:r>
            <w:r>
              <w:rPr>
                <w:rFonts w:hint="eastAsia"/>
                <w:b/>
                <w:bCs/>
                <w:color w:val="auto"/>
                <w:szCs w:val="21"/>
                <w:lang w:val="zh-TW" w:eastAsia="zh-TW"/>
              </w:rPr>
              <w:t>投标人</w:t>
            </w:r>
            <w:r>
              <w:rPr>
                <w:rFonts w:hint="eastAsia"/>
                <w:b/>
                <w:bCs/>
                <w:color w:val="auto"/>
                <w:szCs w:val="21"/>
                <w:lang w:val="en-US" w:eastAsia="zh-CN"/>
              </w:rPr>
              <w:t>或代理品牌设备生产商</w:t>
            </w:r>
            <w:r>
              <w:rPr>
                <w:rFonts w:hint="eastAsia"/>
                <w:color w:val="auto"/>
                <w:szCs w:val="21"/>
              </w:rPr>
              <w:t>202</w:t>
            </w:r>
            <w:r>
              <w:rPr>
                <w:rFonts w:hint="eastAsia"/>
                <w:color w:val="auto"/>
                <w:szCs w:val="21"/>
                <w:lang w:val="en-US" w:eastAsia="zh-CN"/>
              </w:rPr>
              <w:t>2</w:t>
            </w:r>
            <w:r>
              <w:rPr>
                <w:rFonts w:hint="eastAsia"/>
                <w:color w:val="auto"/>
                <w:szCs w:val="21"/>
                <w:lang w:val="zh-TW" w:eastAsia="zh-TW"/>
              </w:rPr>
              <w:t>年</w:t>
            </w:r>
            <w:r>
              <w:rPr>
                <w:rFonts w:hint="eastAsia"/>
                <w:color w:val="auto"/>
                <w:szCs w:val="21"/>
                <w:lang w:val="en-US" w:eastAsia="zh-CN"/>
              </w:rPr>
              <w:t>1</w:t>
            </w:r>
            <w:r>
              <w:rPr>
                <w:rFonts w:hint="eastAsia"/>
                <w:color w:val="auto"/>
                <w:szCs w:val="21"/>
                <w:lang w:val="zh-TW" w:eastAsia="zh-TW"/>
              </w:rPr>
              <w:t>月</w:t>
            </w:r>
            <w:r>
              <w:rPr>
                <w:rFonts w:hint="eastAsia"/>
                <w:color w:val="auto"/>
                <w:szCs w:val="21"/>
                <w:lang w:val="zh-TW"/>
              </w:rPr>
              <w:t>1日</w:t>
            </w:r>
            <w:r>
              <w:rPr>
                <w:rFonts w:hint="eastAsia"/>
                <w:color w:val="auto"/>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color w:val="auto"/>
                <w:szCs w:val="21"/>
                <w:lang w:val="zh-TW" w:eastAsia="zh-TW"/>
              </w:rPr>
              <w:t>每份</w:t>
            </w:r>
            <w:r>
              <w:rPr>
                <w:rFonts w:hint="eastAsia" w:ascii="黑体" w:hAnsi="黑体" w:eastAsia="黑体" w:cs="黑体"/>
                <w:b/>
                <w:bCs/>
                <w:color w:val="auto"/>
                <w:szCs w:val="21"/>
                <w:lang w:val="en-US" w:eastAsia="zh-CN"/>
              </w:rPr>
              <w:t>2</w:t>
            </w:r>
            <w:r>
              <w:rPr>
                <w:rFonts w:hint="eastAsia" w:ascii="黑体" w:hAnsi="黑体" w:eastAsia="黑体" w:cs="黑体"/>
                <w:b/>
                <w:bCs/>
                <w:color w:val="auto"/>
                <w:szCs w:val="21"/>
                <w:lang w:val="zh-TW" w:eastAsia="zh-TW"/>
              </w:rPr>
              <w:t>分</w:t>
            </w:r>
            <w:r>
              <w:rPr>
                <w:rFonts w:hint="eastAsia"/>
                <w:color w:val="auto"/>
                <w:szCs w:val="21"/>
                <w:lang w:val="zh-TW" w:eastAsia="zh-TW"/>
              </w:rPr>
              <w:t>；同一买方的多份合同仅算一份业绩，得</w:t>
            </w:r>
            <w:r>
              <w:rPr>
                <w:rFonts w:hint="eastAsia"/>
                <w:color w:val="auto"/>
                <w:szCs w:val="21"/>
                <w:lang w:val="en-US" w:eastAsia="zh-CN"/>
              </w:rPr>
              <w:t>2</w:t>
            </w:r>
            <w:r>
              <w:rPr>
                <w:rFonts w:hint="eastAsia"/>
                <w:color w:val="auto"/>
                <w:szCs w:val="21"/>
                <w:lang w:val="zh-TW" w:eastAsia="zh-TW"/>
              </w:rPr>
              <w:t>分；</w:t>
            </w:r>
            <w:r>
              <w:rPr>
                <w:rFonts w:hint="eastAsia" w:ascii="黑体" w:hAnsi="黑体" w:eastAsia="黑体" w:cs="黑体"/>
                <w:b/>
                <w:bCs/>
                <w:color w:val="auto"/>
                <w:szCs w:val="21"/>
                <w:lang w:val="zh-TW" w:eastAsia="zh-TW"/>
              </w:rPr>
              <w:t>最多得</w:t>
            </w:r>
            <w:r>
              <w:rPr>
                <w:rFonts w:hint="eastAsia" w:ascii="黑体" w:hAnsi="黑体" w:eastAsia="黑体" w:cs="黑体"/>
                <w:b/>
                <w:bCs/>
                <w:color w:val="auto"/>
                <w:szCs w:val="21"/>
                <w:lang w:val="en-US" w:eastAsia="zh-CN"/>
              </w:rPr>
              <w:t>6</w:t>
            </w:r>
            <w:r>
              <w:rPr>
                <w:rFonts w:hint="eastAsia" w:ascii="黑体" w:hAnsi="黑体" w:eastAsia="黑体" w:cs="黑体"/>
                <w:b/>
                <w:bCs/>
                <w:color w:val="auto"/>
                <w:szCs w:val="21"/>
                <w:lang w:val="zh-TW" w:eastAsia="zh-TW"/>
              </w:rPr>
              <w:t>分</w:t>
            </w:r>
            <w:r>
              <w:rPr>
                <w:rFonts w:hint="eastAsia"/>
                <w:color w:val="auto"/>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color w:val="auto"/>
                <w:sz w:val="21"/>
                <w:szCs w:val="21"/>
              </w:rPr>
            </w:pPr>
            <w:r>
              <w:rPr>
                <w:rFonts w:hint="eastAsia"/>
                <w:color w:val="auto"/>
                <w:szCs w:val="21"/>
              </w:rPr>
              <w:t>根据投标人在质保期内可</w:t>
            </w:r>
            <w:r>
              <w:rPr>
                <w:rFonts w:hint="eastAsia"/>
                <w:color w:val="auto"/>
                <w:szCs w:val="21"/>
                <w:lang w:eastAsia="zh-CN"/>
              </w:rPr>
              <w:t>赠送</w:t>
            </w:r>
            <w:r>
              <w:rPr>
                <w:rFonts w:hint="eastAsia"/>
                <w:color w:val="auto"/>
                <w:szCs w:val="21"/>
                <w:lang w:val="en-US" w:eastAsia="zh-CN"/>
              </w:rPr>
              <w:t>的产品</w:t>
            </w:r>
            <w:r>
              <w:rPr>
                <w:rFonts w:hint="eastAsia"/>
                <w:color w:val="auto"/>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auto"/>
                <w:sz w:val="21"/>
                <w:szCs w:val="21"/>
                <w:highlight w:val="none"/>
                <w:lang w:val="en-US" w:eastAsia="zh-CN"/>
              </w:rPr>
            </w:pPr>
            <w:r>
              <w:rPr>
                <w:rFonts w:hint="eastAsia"/>
                <w:color w:val="auto"/>
                <w:szCs w:val="21"/>
                <w:highlight w:val="none"/>
                <w:lang w:val="zh-TW" w:eastAsia="zh-TW"/>
              </w:rPr>
              <w:t>满足满足3年保修得2分；每延长一年加</w:t>
            </w:r>
            <w:r>
              <w:rPr>
                <w:rFonts w:hint="eastAsia"/>
                <w:color w:val="auto"/>
                <w:szCs w:val="21"/>
                <w:highlight w:val="none"/>
                <w:lang w:val="zh-CN"/>
              </w:rPr>
              <w:t>1</w:t>
            </w:r>
            <w:r>
              <w:rPr>
                <w:rFonts w:hint="eastAsia"/>
                <w:color w:val="auto"/>
                <w:szCs w:val="21"/>
                <w:highlight w:val="none"/>
                <w:lang w:val="zh-TW" w:eastAsia="zh-TW"/>
              </w:rPr>
              <w:t>分，最多加</w:t>
            </w:r>
            <w:r>
              <w:rPr>
                <w:rFonts w:hint="eastAsia"/>
                <w:color w:val="auto"/>
                <w:szCs w:val="21"/>
                <w:highlight w:val="none"/>
                <w:lang w:val="zh-CN"/>
              </w:rPr>
              <w:t>2</w:t>
            </w:r>
            <w:r>
              <w:rPr>
                <w:rFonts w:hint="eastAsia"/>
                <w:color w:val="auto"/>
                <w:szCs w:val="21"/>
                <w:highlight w:val="none"/>
                <w:lang w:val="zh-TW" w:eastAsia="zh-TW"/>
              </w:rPr>
              <w:t>分。</w:t>
            </w:r>
            <w:r>
              <w:rPr>
                <w:rFonts w:hint="eastAsia" w:ascii="黑体" w:hAnsi="黑体" w:eastAsia="黑体" w:cs="黑体"/>
                <w:b/>
                <w:bCs/>
                <w:color w:val="auto"/>
                <w:szCs w:val="21"/>
                <w:highlight w:val="none"/>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黑体" w:hAnsi="黑体" w:eastAsia="黑体" w:cs="黑体"/>
                <w:b/>
                <w:bCs/>
                <w:color w:val="auto"/>
                <w:szCs w:val="21"/>
                <w:highlight w:val="none"/>
                <w:lang w:val="en-US" w:eastAsia="zh-CN"/>
              </w:rPr>
            </w:pPr>
            <w:r>
              <w:rPr>
                <w:rFonts w:hint="eastAsia"/>
                <w:color w:val="auto"/>
                <w:szCs w:val="21"/>
                <w:highlight w:val="none"/>
                <w:lang w:val="zh-TW" w:eastAsia="zh-TW"/>
              </w:rPr>
              <w:t>投标人需结合项目的实际特点来制定本项目的售后服务方案，评委根据各投标人提供的售后服务方案（包括售后服务承诺、售后服务内容、售后服务体系、服务流程、设备故障问题解决方案、故障处理时限、现场服务响应时间、退换货时间、技术支持人员安排合理度、免费服务年限、各类故障应急措施以及符合本项目的其他售后承诺等）进行综合评审</w:t>
            </w:r>
            <w:r>
              <w:rPr>
                <w:rFonts w:hint="eastAsia"/>
                <w:color w:val="auto"/>
                <w:szCs w:val="21"/>
                <w:highlight w:val="none"/>
                <w:lang w:val="zh-TW" w:eastAsia="zh-CN"/>
              </w:rPr>
              <w:t>。</w:t>
            </w:r>
            <w:r>
              <w:rPr>
                <w:rFonts w:hint="eastAsia" w:ascii="黑体" w:hAnsi="黑体" w:eastAsia="黑体" w:cs="黑体"/>
                <w:b/>
                <w:bCs/>
                <w:color w:val="auto"/>
                <w:szCs w:val="21"/>
                <w:highlight w:val="none"/>
                <w:lang w:val="en-US" w:eastAsia="zh-CN"/>
              </w:rPr>
              <w:t>有原厂针对本项目的授权书的，加2分。</w:t>
            </w:r>
          </w:p>
          <w:p w14:paraId="3E8C9B26">
            <w:pPr>
              <w:spacing w:line="240" w:lineRule="auto"/>
              <w:rPr>
                <w:rFonts w:hint="eastAsia" w:ascii="黑体" w:hAnsi="黑体" w:eastAsia="黑体" w:cs="黑体"/>
                <w:b/>
                <w:bCs/>
                <w:color w:val="auto"/>
                <w:szCs w:val="21"/>
                <w:highlight w:val="none"/>
                <w:lang w:val="en-US" w:eastAsia="zh-CN"/>
              </w:rPr>
            </w:pPr>
            <w:r>
              <w:rPr>
                <w:rFonts w:hint="eastAsia"/>
                <w:color w:val="auto"/>
                <w:szCs w:val="21"/>
                <w:highlight w:val="none"/>
                <w:lang w:val="en-US" w:eastAsia="zh-CN"/>
              </w:rPr>
              <w:t>投标人需</w:t>
            </w:r>
            <w:r>
              <w:rPr>
                <w:rFonts w:hint="eastAsia"/>
                <w:color w:val="auto"/>
                <w:szCs w:val="21"/>
                <w:highlight w:val="none"/>
              </w:rPr>
              <w:t>提供完整的项目培训方案，根据各投标人所提供的培训方案（培训包括不限于：培训服务计划、培训大纲、培训人数、培训教材等）</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auto"/>
                <w:kern w:val="2"/>
                <w:sz w:val="21"/>
                <w:szCs w:val="21"/>
                <w:lang w:val="zh-TW" w:eastAsia="zh-TW" w:bidi="ar-SA"/>
              </w:rPr>
            </w:pPr>
            <w:r>
              <w:rPr>
                <w:rFonts w:hint="eastAsia"/>
                <w:color w:val="auto"/>
              </w:rPr>
              <w:t>标书规范且有关键指标索引的，得</w:t>
            </w:r>
            <w:r>
              <w:rPr>
                <w:color w:val="auto"/>
              </w:rPr>
              <w:t>1</w:t>
            </w:r>
            <w:r>
              <w:rPr>
                <w:rFonts w:hint="eastAsia"/>
                <w:color w:val="auto"/>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rFonts w:hint="eastAsia" w:ascii="黑体" w:eastAsia="黑体"/>
          <w:b/>
          <w:sz w:val="24"/>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color w:val="0000FF"/>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r>
        <w:rPr>
          <w:rFonts w:hint="eastAsia" w:ascii="宋体" w:hAnsi="宋体" w:cs="宋体"/>
          <w:color w:val="0000FF"/>
          <w:kern w:val="0"/>
          <w:sz w:val="24"/>
          <w:lang w:val="en-US" w:eastAsia="zh-CN"/>
        </w:rPr>
        <w:t>（各投标单位需根据招标参数提供所投设备的详细参数）</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73482750">
      <w:pPr>
        <w:spacing w:line="353" w:lineRule="auto"/>
        <w:ind w:firstLine="480" w:firstLineChars="200"/>
        <w:rPr>
          <w:rFonts w:hint="eastAsia"/>
          <w:color w:val="0000FF"/>
          <w:sz w:val="24"/>
          <w:lang w:val="en-US" w:eastAsia="zh-CN"/>
        </w:rPr>
      </w:pPr>
      <w:r>
        <w:rPr>
          <w:rFonts w:hint="eastAsia"/>
          <w:color w:val="0000FF"/>
          <w:sz w:val="24"/>
          <w:lang w:val="en-US" w:eastAsia="zh-CN"/>
        </w:rPr>
        <w:t>1.  质保期不少于三年（质保期内所有乐器免费调音服务），自最终验收合格并交付使用之日起计。</w:t>
      </w:r>
    </w:p>
    <w:p w14:paraId="5C72A61B">
      <w:pPr>
        <w:spacing w:line="353" w:lineRule="auto"/>
        <w:ind w:firstLine="480" w:firstLineChars="200"/>
        <w:rPr>
          <w:rFonts w:hint="eastAsia"/>
          <w:color w:val="0000FF"/>
          <w:lang w:eastAsia="zh-CN"/>
        </w:rPr>
      </w:pPr>
      <w:r>
        <w:rPr>
          <w:rFonts w:hint="eastAsia"/>
          <w:color w:val="0000FF"/>
          <w:sz w:val="24"/>
          <w:lang w:val="en-US" w:eastAsia="zh-CN"/>
        </w:rPr>
        <w:t>2、在保修期内，一旦发生质量问题，投标供应商保证在接到通知 24 小时内赶到现场进行处理并进行原厂维保。简单故障 4 小时内排除并恢复正常使用；重大故障需联合原厂商完成调查故障原因并实施故障处理、设备更换、修复等工作，以恢复产品正常使用。此外，在质保期内，中标供应商负责对出现故障的部件提供性能相同的替用部件确保产品正常使用。</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必须的各种培训。</w:t>
      </w:r>
    </w:p>
    <w:p w14:paraId="0B0C82D2">
      <w:pPr>
        <w:spacing w:line="353" w:lineRule="auto"/>
        <w:ind w:firstLine="480" w:firstLineChars="200"/>
        <w:rPr>
          <w:rFonts w:hint="eastAsia"/>
          <w:sz w:val="24"/>
        </w:rPr>
      </w:pPr>
      <w:r>
        <w:rPr>
          <w:rFonts w:hint="eastAsia"/>
          <w:sz w:val="24"/>
          <w:lang w:val="en-US" w:eastAsia="zh-CN"/>
        </w:rPr>
        <w:t>4</w:t>
      </w:r>
      <w:r>
        <w:rPr>
          <w:rFonts w:hint="eastAsia"/>
          <w:sz w:val="24"/>
        </w:rPr>
        <w:t>.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5.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lang w:val="en-US" w:eastAsia="zh-CN"/>
        </w:rPr>
        <w:t>6</w:t>
      </w:r>
      <w:r>
        <w:rPr>
          <w:rFonts w:hint="eastAsia"/>
          <w:sz w:val="24"/>
        </w:rPr>
        <w:t>.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7706FC9F">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合同签订后15天内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w:t>
      </w:r>
      <w:r>
        <w:rPr>
          <w:rFonts w:hint="eastAsia" w:ascii="宋体" w:hAnsi="宋体" w:cs="宋体"/>
          <w:sz w:val="24"/>
          <w:szCs w:val="24"/>
          <w:lang w:val="en-US" w:eastAsia="zh-CN"/>
        </w:rPr>
        <w:t>乐器</w:t>
      </w:r>
      <w:r>
        <w:rPr>
          <w:rFonts w:hint="eastAsia" w:ascii="宋体" w:hAnsi="宋体" w:eastAsia="宋体" w:cs="宋体"/>
          <w:sz w:val="24"/>
          <w:szCs w:val="24"/>
        </w:rPr>
        <w:t>产品包括相关附件为相应</w:t>
      </w:r>
      <w:r>
        <w:rPr>
          <w:rFonts w:hint="eastAsia" w:ascii="宋体" w:hAnsi="宋体" w:cs="宋体"/>
          <w:sz w:val="24"/>
          <w:szCs w:val="24"/>
          <w:lang w:val="en-US" w:eastAsia="zh-CN"/>
        </w:rPr>
        <w:t>产品</w:t>
      </w:r>
      <w:r>
        <w:rPr>
          <w:rFonts w:hint="eastAsia" w:ascii="宋体" w:hAnsi="宋体" w:eastAsia="宋体" w:cs="宋体"/>
          <w:sz w:val="24"/>
          <w:szCs w:val="24"/>
        </w:rPr>
        <w:t>厂家原装正品，符合国家有关规定。中标人须保证所提供产品具有合法的版权或使用权，本项目采购的产品，如在本项目范围内使用过程中出现版权或使用权纠纷，应由中标人负责，招标人不承担责任。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bookmarkStart w:id="58" w:name="_GoBack"/>
      <w:bookmarkEnd w:id="58"/>
    </w:p>
    <w:p w14:paraId="020563DE">
      <w:pPr>
        <w:spacing w:before="100" w:after="100"/>
        <w:ind w:left="0" w:leftChars="0"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FF0000"/>
          <w:kern w:val="0"/>
          <w:sz w:val="24"/>
          <w:lang w:val="en-US" w:eastAsia="zh-CN"/>
        </w:rPr>
        <w:t>到货安装调试完成，交付使用，验收合格满</w:t>
      </w:r>
      <w:r>
        <w:rPr>
          <w:rFonts w:hint="eastAsia" w:ascii="宋体" w:hAnsi="宋体" w:cs="宋体"/>
          <w:color w:val="FF0000"/>
          <w:kern w:val="0"/>
          <w:sz w:val="24"/>
          <w:lang w:val="en-US" w:eastAsia="zh-CN"/>
        </w:rPr>
        <w:t>一</w:t>
      </w:r>
      <w:r>
        <w:rPr>
          <w:rFonts w:hint="eastAsia" w:ascii="宋体" w:hAnsi="宋体" w:eastAsia="宋体" w:cs="宋体"/>
          <w:color w:val="FF0000"/>
          <w:kern w:val="0"/>
          <w:sz w:val="24"/>
          <w:lang w:val="en-US" w:eastAsia="zh-CN"/>
        </w:rPr>
        <w:t>个月后一个月内付至总结算价的90%；剩余10%作为质保金，待验收合格</w:t>
      </w:r>
      <w:r>
        <w:rPr>
          <w:rFonts w:hint="eastAsia" w:ascii="宋体" w:hAnsi="宋体" w:cs="宋体"/>
          <w:color w:val="FF0000"/>
          <w:kern w:val="0"/>
          <w:sz w:val="24"/>
          <w:lang w:val="en-US" w:eastAsia="zh-CN"/>
        </w:rPr>
        <w:t>一年后</w:t>
      </w:r>
      <w:r>
        <w:rPr>
          <w:rFonts w:hint="eastAsia" w:ascii="宋体" w:hAnsi="宋体" w:eastAsia="宋体" w:cs="宋体"/>
          <w:color w:val="FF0000"/>
          <w:kern w:val="0"/>
          <w:sz w:val="24"/>
          <w:lang w:val="en-US" w:eastAsia="zh-CN"/>
        </w:rPr>
        <w:t>无重大质量问题后付清。</w:t>
      </w:r>
    </w:p>
    <w:p w14:paraId="72C02C5D">
      <w:pPr>
        <w:pStyle w:val="2"/>
        <w:ind w:left="0" w:leftChars="0" w:firstLine="480" w:firstLineChars="200"/>
        <w:jc w:val="left"/>
        <w:rPr>
          <w:rFonts w:hint="eastAsia"/>
          <w:color w:val="auto"/>
          <w:lang w:val="en-US" w:eastAsia="zh-CN"/>
        </w:rPr>
      </w:pPr>
      <w:r>
        <w:rPr>
          <w:rFonts w:hint="eastAsia" w:ascii="宋体" w:hAnsi="宋体" w:eastAsia="宋体" w:cs="宋体"/>
          <w:color w:val="auto"/>
          <w:kern w:val="0"/>
          <w:sz w:val="24"/>
          <w:szCs w:val="24"/>
          <w:lang w:val="en-US" w:eastAsia="zh-CN" w:bidi="ar-SA"/>
        </w:rPr>
        <w:t>收到货物</w:t>
      </w:r>
      <w:r>
        <w:rPr>
          <w:rFonts w:hint="eastAsia" w:ascii="宋体" w:hAnsi="宋体" w:cs="宋体"/>
          <w:color w:val="auto"/>
          <w:kern w:val="0"/>
          <w:sz w:val="24"/>
          <w:szCs w:val="24"/>
          <w:lang w:val="en-US" w:eastAsia="zh-CN" w:bidi="ar-SA"/>
        </w:rPr>
        <w:t>安装调试完成</w:t>
      </w:r>
      <w:r>
        <w:rPr>
          <w:rFonts w:hint="eastAsia" w:ascii="宋体" w:hAnsi="宋体" w:eastAsia="宋体" w:cs="宋体"/>
          <w:color w:val="auto"/>
          <w:kern w:val="0"/>
          <w:sz w:val="24"/>
          <w:szCs w:val="24"/>
          <w:lang w:val="en-US" w:eastAsia="zh-CN" w:bidi="ar-SA"/>
        </w:rPr>
        <w:t>后30日之内，供方需提供正规货物全额发票。</w:t>
      </w:r>
    </w:p>
    <w:p w14:paraId="18DCCC7B">
      <w:pPr>
        <w:pStyle w:val="2"/>
        <w:rPr>
          <w:rFonts w:hint="eastAsia"/>
        </w:rPr>
      </w:pPr>
    </w:p>
    <w:p w14:paraId="6B715FC0">
      <w:pPr>
        <w:pStyle w:val="23"/>
        <w:rPr>
          <w:rFonts w:ascii="宋体" w:hAnsi="宋体" w:cs="宋体"/>
          <w:sz w:val="24"/>
        </w:rPr>
      </w:pPr>
    </w:p>
    <w:p w14:paraId="5CC8487A">
      <w:pPr>
        <w:spacing w:before="87" w:line="223" w:lineRule="auto"/>
        <w:ind w:left="2639"/>
        <w:rPr>
          <w:rFonts w:ascii="宋体" w:hAnsi="宋体" w:eastAsia="宋体" w:cs="宋体"/>
          <w:sz w:val="43"/>
          <w:szCs w:val="43"/>
        </w:rPr>
      </w:pPr>
      <w:bookmarkStart w:id="4" w:name="_Toc34991461"/>
      <w:bookmarkStart w:id="5" w:name="_Toc12022"/>
      <w:bookmarkStart w:id="6" w:name="_Toc231304988"/>
      <w:bookmarkStart w:id="7" w:name="_Toc231280938"/>
      <w:bookmarkStart w:id="8" w:name="_Toc231279666"/>
      <w:bookmarkStart w:id="9" w:name="_Toc231282228"/>
      <w:bookmarkStart w:id="10" w:name="_Toc231280344"/>
      <w:bookmarkStart w:id="11" w:name="_Toc231284489"/>
      <w:bookmarkStart w:id="12" w:name="_Toc231281339"/>
      <w:bookmarkStart w:id="13" w:name="_Toc231279247"/>
      <w:bookmarkStart w:id="14" w:name="_Toc231279737"/>
      <w:bookmarkStart w:id="15" w:name="_Toc231289905"/>
      <w:bookmarkStart w:id="16" w:name="_Toc231280804"/>
      <w:bookmarkStart w:id="17" w:name="_Toc231305090"/>
      <w:bookmarkStart w:id="18" w:name="_Toc231279586"/>
      <w:bookmarkStart w:id="19" w:name="_Toc231286901"/>
      <w:bookmarkStart w:id="20" w:name="_Toc231281705"/>
      <w:bookmarkStart w:id="21" w:name="_Toc231289771"/>
      <w:bookmarkStart w:id="22" w:name="_Toc231276966"/>
      <w:bookmarkStart w:id="23" w:name="_Toc231289932"/>
      <w:bookmarkStart w:id="24" w:name="_Toc231279156"/>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8"/>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6"/>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7DDC2B7B">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8"/>
        <w:rPr>
          <w:rFonts w:ascii="宋体" w:hAnsi="宋体"/>
          <w:b/>
          <w:bCs w:val="0"/>
          <w:color w:val="000000"/>
          <w:sz w:val="21"/>
          <w:szCs w:val="21"/>
        </w:rPr>
      </w:pPr>
      <w:bookmarkStart w:id="25" w:name="_Toc30593"/>
      <w:bookmarkStart w:id="26" w:name="_Toc34991462"/>
      <w:bookmarkStart w:id="27" w:name="_Toc231281708"/>
      <w:bookmarkStart w:id="28" w:name="_Toc231279669"/>
      <w:bookmarkStart w:id="29" w:name="_Toc231279589"/>
      <w:bookmarkStart w:id="30" w:name="_Toc231289935"/>
      <w:bookmarkStart w:id="31" w:name="_Toc231280807"/>
      <w:bookmarkStart w:id="32" w:name="_Toc231289908"/>
      <w:bookmarkStart w:id="33" w:name="_Toc231281342"/>
      <w:bookmarkStart w:id="34" w:name="_Toc231280941"/>
      <w:bookmarkStart w:id="35" w:name="_Toc231304991"/>
      <w:bookmarkStart w:id="36" w:name="_Toc231282231"/>
      <w:bookmarkStart w:id="37" w:name="_Toc231284492"/>
      <w:bookmarkStart w:id="38" w:name="_Toc231280347"/>
      <w:bookmarkStart w:id="39" w:name="_Toc231305093"/>
      <w:bookmarkStart w:id="40" w:name="_Toc231289774"/>
      <w:bookmarkStart w:id="41" w:name="_Toc231279740"/>
      <w:bookmarkStart w:id="42" w:name="_Toc231286904"/>
      <w:bookmarkStart w:id="43" w:name="_Toc40726608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8"/>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8"/>
        <w:rPr>
          <w:rFonts w:ascii="宋体" w:hAnsi="宋体"/>
          <w:color w:val="000000"/>
          <w:spacing w:val="4"/>
          <w:sz w:val="24"/>
        </w:rPr>
      </w:pPr>
    </w:p>
    <w:p w14:paraId="3000A94E">
      <w:pPr>
        <w:pStyle w:val="8"/>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6"/>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7"/>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6"/>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6"/>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6"/>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6"/>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6"/>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6"/>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6"/>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6"/>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6"/>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6"/>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6"/>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6"/>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6"/>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8"/>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8"/>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6"/>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8"/>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7455425F">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8"/>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8"/>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5"/>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6"/>
        <w:spacing w:line="290" w:lineRule="auto"/>
      </w:pPr>
    </w:p>
    <w:p w14:paraId="706A40CC">
      <w:pPr>
        <w:pStyle w:val="6"/>
        <w:spacing w:line="290" w:lineRule="auto"/>
      </w:pPr>
    </w:p>
    <w:p w14:paraId="2A0EDADA">
      <w:pPr>
        <w:pStyle w:val="6"/>
        <w:spacing w:line="291" w:lineRule="auto"/>
      </w:pPr>
    </w:p>
    <w:p w14:paraId="055BD1E0">
      <w:pPr>
        <w:pStyle w:val="6"/>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6"/>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6"/>
        <w:spacing w:line="252" w:lineRule="auto"/>
      </w:pPr>
    </w:p>
    <w:p w14:paraId="0D43D8A4">
      <w:pPr>
        <w:pStyle w:val="6"/>
        <w:spacing w:line="252" w:lineRule="auto"/>
      </w:pPr>
    </w:p>
    <w:p w14:paraId="1730861F">
      <w:pPr>
        <w:pStyle w:val="6"/>
        <w:spacing w:line="252" w:lineRule="auto"/>
      </w:pPr>
    </w:p>
    <w:p w14:paraId="20B5014A">
      <w:pPr>
        <w:pStyle w:val="6"/>
        <w:spacing w:line="252" w:lineRule="auto"/>
      </w:pPr>
    </w:p>
    <w:p w14:paraId="0EAE02E5">
      <w:pPr>
        <w:pStyle w:val="6"/>
        <w:spacing w:line="253" w:lineRule="auto"/>
      </w:pPr>
    </w:p>
    <w:p w14:paraId="36A269F1">
      <w:pPr>
        <w:pStyle w:val="6"/>
        <w:spacing w:line="253" w:lineRule="auto"/>
      </w:pPr>
    </w:p>
    <w:p w14:paraId="66E41182">
      <w:pPr>
        <w:pStyle w:val="6"/>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8"/>
        <w:rPr>
          <w:color w:val="000000"/>
        </w:rPr>
      </w:pPr>
    </w:p>
    <w:p w14:paraId="6B1BB233">
      <w:pPr>
        <w:pStyle w:val="8"/>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6"/>
        <w:spacing w:line="317" w:lineRule="auto"/>
      </w:pPr>
    </w:p>
    <w:p w14:paraId="4BC8FFC7">
      <w:pPr>
        <w:pStyle w:val="6"/>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6"/>
        <w:spacing w:line="243" w:lineRule="auto"/>
      </w:pPr>
    </w:p>
    <w:p w14:paraId="0F4899D9">
      <w:pPr>
        <w:pStyle w:val="6"/>
        <w:spacing w:line="243" w:lineRule="auto"/>
      </w:pPr>
    </w:p>
    <w:p w14:paraId="6F5CD372">
      <w:pPr>
        <w:pStyle w:val="6"/>
        <w:spacing w:line="244" w:lineRule="auto"/>
      </w:pPr>
    </w:p>
    <w:p w14:paraId="3A6C0E0D">
      <w:pPr>
        <w:pStyle w:val="6"/>
        <w:spacing w:line="244" w:lineRule="auto"/>
      </w:pPr>
    </w:p>
    <w:p w14:paraId="43C5FA5E">
      <w:pPr>
        <w:pStyle w:val="6"/>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6"/>
        <w:spacing w:line="244" w:lineRule="auto"/>
      </w:pPr>
    </w:p>
    <w:p w14:paraId="3A5556BC">
      <w:pPr>
        <w:pStyle w:val="6"/>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5"/>
        <w:rPr>
          <w:rFonts w:ascii="宋体" w:hAnsi="宋体" w:eastAsia="宋体" w:cs="宋体"/>
          <w:spacing w:val="-10"/>
          <w:sz w:val="28"/>
          <w:szCs w:val="28"/>
        </w:rPr>
      </w:pPr>
    </w:p>
    <w:p w14:paraId="1E182950">
      <w:pPr>
        <w:pStyle w:val="8"/>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9"/>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9"/>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9"/>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9"/>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9"/>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9"/>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5"/>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4"/>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9290E"/>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2CA179F"/>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038C7"/>
    <w:rsid w:val="0FD23F5F"/>
    <w:rsid w:val="0FED6606"/>
    <w:rsid w:val="101C0C30"/>
    <w:rsid w:val="102F5FF2"/>
    <w:rsid w:val="1075423C"/>
    <w:rsid w:val="10A122E9"/>
    <w:rsid w:val="10A34788"/>
    <w:rsid w:val="10D05024"/>
    <w:rsid w:val="10EF574B"/>
    <w:rsid w:val="116575D6"/>
    <w:rsid w:val="11A007F3"/>
    <w:rsid w:val="12981050"/>
    <w:rsid w:val="13841069"/>
    <w:rsid w:val="13846EC6"/>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56538A"/>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1370F"/>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8D815F9"/>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6D385E"/>
    <w:rsid w:val="2FD7142C"/>
    <w:rsid w:val="30063CE0"/>
    <w:rsid w:val="302A3C52"/>
    <w:rsid w:val="307B13BC"/>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4238A4"/>
    <w:rsid w:val="39CE671F"/>
    <w:rsid w:val="39FF1CAB"/>
    <w:rsid w:val="3A6B3EB0"/>
    <w:rsid w:val="3A7206CF"/>
    <w:rsid w:val="3AF60EC6"/>
    <w:rsid w:val="3B00217F"/>
    <w:rsid w:val="3B5211DC"/>
    <w:rsid w:val="3B7675A0"/>
    <w:rsid w:val="3BF3157C"/>
    <w:rsid w:val="3C340801"/>
    <w:rsid w:val="3C7A1ABD"/>
    <w:rsid w:val="3CFF5E1E"/>
    <w:rsid w:val="3D46264F"/>
    <w:rsid w:val="3D9267FC"/>
    <w:rsid w:val="3E391328"/>
    <w:rsid w:val="3E7D6853"/>
    <w:rsid w:val="3EA4349B"/>
    <w:rsid w:val="3ECF32FA"/>
    <w:rsid w:val="40762F92"/>
    <w:rsid w:val="408D6263"/>
    <w:rsid w:val="41303810"/>
    <w:rsid w:val="416A65A4"/>
    <w:rsid w:val="416D1C08"/>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7F7B7B"/>
    <w:rsid w:val="4BA73E97"/>
    <w:rsid w:val="4BC86126"/>
    <w:rsid w:val="4C516396"/>
    <w:rsid w:val="4C797198"/>
    <w:rsid w:val="4D2714D7"/>
    <w:rsid w:val="4D454CFC"/>
    <w:rsid w:val="4DBE70C8"/>
    <w:rsid w:val="4E694A00"/>
    <w:rsid w:val="4EC5306C"/>
    <w:rsid w:val="4ED25562"/>
    <w:rsid w:val="4F47260C"/>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9971F26"/>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691A16"/>
    <w:rsid w:val="69D525EC"/>
    <w:rsid w:val="6BB54819"/>
    <w:rsid w:val="6BC1223C"/>
    <w:rsid w:val="6BE33FA7"/>
    <w:rsid w:val="6BF55A4E"/>
    <w:rsid w:val="6C465F5C"/>
    <w:rsid w:val="6C6178D9"/>
    <w:rsid w:val="6C64170E"/>
    <w:rsid w:val="6D95791B"/>
    <w:rsid w:val="6EBE6C8A"/>
    <w:rsid w:val="6F913427"/>
    <w:rsid w:val="6FDD7144"/>
    <w:rsid w:val="70281CF1"/>
    <w:rsid w:val="70B34FC2"/>
    <w:rsid w:val="70E21E29"/>
    <w:rsid w:val="71294FA1"/>
    <w:rsid w:val="71885DD2"/>
    <w:rsid w:val="71D72C0E"/>
    <w:rsid w:val="71E219F3"/>
    <w:rsid w:val="72224E32"/>
    <w:rsid w:val="72370CB6"/>
    <w:rsid w:val="72963BA6"/>
    <w:rsid w:val="729907F9"/>
    <w:rsid w:val="72C47013"/>
    <w:rsid w:val="732B25B2"/>
    <w:rsid w:val="73557ED4"/>
    <w:rsid w:val="735D66FD"/>
    <w:rsid w:val="73CC7AC9"/>
    <w:rsid w:val="747554DC"/>
    <w:rsid w:val="74D63C4F"/>
    <w:rsid w:val="74E90FB2"/>
    <w:rsid w:val="7548217D"/>
    <w:rsid w:val="75812F99"/>
    <w:rsid w:val="759728B6"/>
    <w:rsid w:val="75B94E29"/>
    <w:rsid w:val="763A7532"/>
    <w:rsid w:val="7662297F"/>
    <w:rsid w:val="77C16289"/>
    <w:rsid w:val="77C819C8"/>
    <w:rsid w:val="77D53B6D"/>
    <w:rsid w:val="77F9775E"/>
    <w:rsid w:val="78246CD9"/>
    <w:rsid w:val="78930A25"/>
    <w:rsid w:val="78DA40A0"/>
    <w:rsid w:val="79427311"/>
    <w:rsid w:val="7A5806A3"/>
    <w:rsid w:val="7A835A7B"/>
    <w:rsid w:val="7A9018C8"/>
    <w:rsid w:val="7AE077B3"/>
    <w:rsid w:val="7B7E5661"/>
    <w:rsid w:val="7B92088A"/>
    <w:rsid w:val="7B952B1A"/>
    <w:rsid w:val="7C0204A3"/>
    <w:rsid w:val="7C5807CC"/>
    <w:rsid w:val="7C6A78A5"/>
    <w:rsid w:val="7C807AD4"/>
    <w:rsid w:val="7D546E14"/>
    <w:rsid w:val="7D783DA2"/>
    <w:rsid w:val="7D9E0C93"/>
    <w:rsid w:val="7E0D28D9"/>
    <w:rsid w:val="7E3D0BD1"/>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9">
    <w:name w:val="heading 3"/>
    <w:basedOn w:val="1"/>
    <w:next w:val="1"/>
    <w:link w:val="26"/>
    <w:autoRedefine/>
    <w:unhideWhenUsed/>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spacing w:after="120" w:line="240" w:lineRule="auto"/>
      <w:ind w:left="420" w:leftChars="200" w:firstLine="420" w:firstLineChars="200"/>
    </w:pPr>
    <w:rPr>
      <w:sz w:val="21"/>
      <w:szCs w:val="20"/>
    </w:rPr>
  </w:style>
  <w:style w:type="paragraph" w:styleId="3">
    <w:name w:val="Body Text Indent"/>
    <w:basedOn w:val="1"/>
    <w:next w:val="4"/>
    <w:qFormat/>
    <w:uiPriority w:val="99"/>
    <w:pPr>
      <w:tabs>
        <w:tab w:val="left" w:pos="5580"/>
      </w:tabs>
      <w:spacing w:before="120" w:line="360" w:lineRule="auto"/>
      <w:ind w:firstLine="454"/>
    </w:pPr>
    <w:rPr>
      <w:sz w:val="24"/>
      <w:lang w:val="zh-CN"/>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autoRedefine/>
    <w:qFormat/>
    <w:uiPriority w:val="99"/>
    <w:pPr>
      <w:ind w:firstLine="420" w:firstLineChars="100"/>
    </w:pPr>
  </w:style>
  <w:style w:type="paragraph" w:styleId="6">
    <w:name w:val="Body Text"/>
    <w:basedOn w:val="1"/>
    <w:next w:val="1"/>
    <w:link w:val="27"/>
    <w:autoRedefine/>
    <w:qFormat/>
    <w:uiPriority w:val="0"/>
    <w:pPr>
      <w:snapToGrid w:val="0"/>
      <w:spacing w:before="120" w:after="120" w:line="360" w:lineRule="auto"/>
    </w:pPr>
    <w:rPr>
      <w:rFonts w:ascii="宋体" w:hAnsi="宋体"/>
      <w:sz w:val="24"/>
      <w:szCs w:val="20"/>
    </w:rPr>
  </w:style>
  <w:style w:type="paragraph" w:styleId="10">
    <w:name w:val="Normal Indent"/>
    <w:basedOn w:val="1"/>
    <w:autoRedefine/>
    <w:qFormat/>
    <w:uiPriority w:val="0"/>
    <w:pPr>
      <w:ind w:firstLine="420"/>
    </w:pPr>
    <w:rPr>
      <w:szCs w:val="20"/>
    </w:rPr>
  </w:style>
  <w:style w:type="paragraph" w:styleId="11">
    <w:name w:val="annotation text"/>
    <w:basedOn w:val="1"/>
    <w:link w:val="31"/>
    <w:autoRedefine/>
    <w:unhideWhenUsed/>
    <w:qFormat/>
    <w:uiPriority w:val="99"/>
    <w:pPr>
      <w:jc w:val="left"/>
    </w:pPr>
    <w:rPr>
      <w:szCs w:val="21"/>
    </w:rPr>
  </w:style>
  <w:style w:type="paragraph" w:styleId="12">
    <w:name w:val="Plain Text"/>
    <w:basedOn w:val="1"/>
    <w:link w:val="28"/>
    <w:autoRedefine/>
    <w:qFormat/>
    <w:uiPriority w:val="0"/>
    <w:rPr>
      <w:rFonts w:ascii="宋体" w:hAnsi="Courier New"/>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spacing w:beforeAutospacing="1" w:afterAutospacing="1"/>
      <w:jc w:val="left"/>
    </w:pPr>
    <w:rPr>
      <w:rFonts w:ascii="Calibri" w:hAnsi="Calibri"/>
      <w:kern w:val="0"/>
      <w:sz w:val="24"/>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rPr>
      <w:rFonts w:ascii="Times New Roman" w:hAnsi="Times New Roman" w:eastAsia="宋体" w:cs="Times New Roman"/>
    </w:rPr>
  </w:style>
  <w:style w:type="character" w:styleId="20">
    <w:name w:val="Hyperlink"/>
    <w:basedOn w:val="18"/>
    <w:autoRedefine/>
    <w:unhideWhenUsed/>
    <w:qFormat/>
    <w:uiPriority w:val="99"/>
    <w:rPr>
      <w:color w:val="0000FF"/>
      <w:u w:val="single"/>
    </w:rPr>
  </w:style>
  <w:style w:type="paragraph" w:customStyle="1" w:styleId="21">
    <w:name w:val="Default"/>
    <w:next w:val="22"/>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4">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5">
    <w:name w:val="Char1"/>
    <w:basedOn w:val="1"/>
    <w:autoRedefine/>
    <w:qFormat/>
    <w:uiPriority w:val="0"/>
  </w:style>
  <w:style w:type="character" w:customStyle="1" w:styleId="26">
    <w:name w:val="标题 3 字符"/>
    <w:link w:val="9"/>
    <w:autoRedefine/>
    <w:semiHidden/>
    <w:qFormat/>
    <w:uiPriority w:val="0"/>
    <w:rPr>
      <w:b/>
      <w:bCs/>
      <w:kern w:val="2"/>
      <w:sz w:val="32"/>
      <w:szCs w:val="32"/>
    </w:rPr>
  </w:style>
  <w:style w:type="character" w:customStyle="1" w:styleId="27">
    <w:name w:val="正文文本 字符"/>
    <w:link w:val="6"/>
    <w:autoRedefine/>
    <w:qFormat/>
    <w:uiPriority w:val="0"/>
    <w:rPr>
      <w:rFonts w:ascii="宋体" w:hAnsi="宋体"/>
      <w:kern w:val="2"/>
      <w:sz w:val="24"/>
    </w:rPr>
  </w:style>
  <w:style w:type="character" w:customStyle="1" w:styleId="28">
    <w:name w:val="纯文本 字符"/>
    <w:link w:val="12"/>
    <w:autoRedefine/>
    <w:qFormat/>
    <w:uiPriority w:val="0"/>
    <w:rPr>
      <w:rFonts w:ascii="宋体" w:hAnsi="Courier New"/>
      <w:kern w:val="2"/>
      <w:sz w:val="21"/>
    </w:rPr>
  </w:style>
  <w:style w:type="paragraph" w:customStyle="1" w:styleId="29">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30">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批注文字 字符"/>
    <w:basedOn w:val="18"/>
    <w:link w:val="11"/>
    <w:autoRedefine/>
    <w:qFormat/>
    <w:uiPriority w:val="99"/>
    <w:rPr>
      <w:kern w:val="2"/>
      <w:sz w:val="21"/>
      <w:szCs w:val="21"/>
    </w:rPr>
  </w:style>
  <w:style w:type="character" w:customStyle="1" w:styleId="32">
    <w:name w:val="15"/>
    <w:basedOn w:val="18"/>
    <w:autoRedefine/>
    <w:qFormat/>
    <w:uiPriority w:val="0"/>
    <w:rPr>
      <w:rFonts w:hint="eastAsia" w:ascii="宋体" w:hAnsi="宋体" w:eastAsia="宋体"/>
      <w:color w:val="000000"/>
      <w:sz w:val="20"/>
      <w:szCs w:val="20"/>
    </w:rPr>
  </w:style>
  <w:style w:type="paragraph" w:customStyle="1" w:styleId="33">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PlainText"/>
    <w:basedOn w:val="1"/>
    <w:autoRedefine/>
    <w:qFormat/>
    <w:uiPriority w:val="0"/>
    <w:rPr>
      <w:rFonts w:ascii="宋体" w:hAnsi="Courier New"/>
      <w:szCs w:val="21"/>
    </w:rPr>
  </w:style>
  <w:style w:type="paragraph" w:customStyle="1" w:styleId="35">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6">
    <w:name w:val="Table Text"/>
    <w:basedOn w:val="1"/>
    <w:autoRedefine/>
    <w:semiHidden/>
    <w:qFormat/>
    <w:uiPriority w:val="0"/>
    <w:rPr>
      <w:rFonts w:ascii="宋体" w:hAnsi="宋体" w:eastAsia="宋体" w:cs="宋体"/>
      <w:sz w:val="24"/>
      <w:szCs w:val="24"/>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10203</Words>
  <Characters>10696</Characters>
  <Lines>134</Lines>
  <Paragraphs>37</Paragraphs>
  <TotalTime>334</TotalTime>
  <ScaleCrop>false</ScaleCrop>
  <LinksUpToDate>false</LinksUpToDate>
  <CharactersWithSpaces>11083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2025-03-25T10:24:51Z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FBB1AD35F9A74D918179E618726A3691_13</vt:lpwstr>
  </property>
  <property fmtid="{D5CDD505-2E9C-101B-9397-08002B2CF9AE}" pid="4" name="KSOTemplateDocerSaveRecord">
    <vt:lpwstr>eyJoZGlkIjoiMWZlNmQ1ZTNlZjFjYTZmYjdjYTkyYWMxNmUxM2I5MTQiLCJ1c2VySWQiOiIzMjI4NzUwMDIifQ==</vt:lpwstr>
  </property>
</Properties>
</file>