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eastAsia="zh-CN"/>
        </w:rPr>
        <w:t>采购</w:t>
      </w:r>
      <w:r>
        <w:rPr>
          <w:rFonts w:hint="eastAsia" w:ascii="黑体" w:hAnsi="黑体" w:eastAsia="黑体" w:cs="黑体"/>
          <w:b/>
          <w:bCs/>
          <w:sz w:val="48"/>
          <w:szCs w:val="48"/>
        </w:rPr>
        <w:t>招标</w:t>
      </w:r>
      <w:r>
        <w:rPr>
          <w:rFonts w:hint="eastAsia" w:ascii="黑体" w:hAnsi="黑体" w:eastAsia="黑体" w:cs="黑体"/>
          <w:b/>
          <w:bCs/>
          <w:sz w:val="48"/>
          <w:szCs w:val="48"/>
          <w:lang w:eastAsia="zh-CN"/>
        </w:rPr>
        <w:t>文件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ascii="宋体" w:hAnsi="宋体" w:eastAsia="宋体" w:cs="Times New Roman"/>
          <w:b/>
          <w:bCs/>
          <w:color w:val="262626" w:themeColor="text1" w:themeTint="D9"/>
          <w:kern w:val="2"/>
          <w:sz w:val="32"/>
          <w:szCs w:val="32"/>
          <w:lang w:val="en-US" w:eastAsia="zh-CN" w:bidi="ar-SA"/>
          <w14:textFill>
            <w14:solidFill>
              <w14:schemeClr w14:val="tx1">
                <w14:lumMod w14:val="85000"/>
                <w14:lumOff w14:val="15000"/>
              </w14:schemeClr>
            </w14:solidFill>
          </w14:textFill>
        </w:rPr>
      </w:pPr>
      <w:r>
        <w:rPr>
          <w:rFonts w:hint="eastAsia" w:ascii="宋体" w:hAnsi="宋体" w:eastAsia="宋体" w:cs="宋体"/>
          <w:b/>
          <w:bCs/>
          <w:sz w:val="32"/>
          <w:szCs w:val="32"/>
          <w:lang w:eastAsia="zh-CN"/>
        </w:rPr>
        <w:t>项目名称</w:t>
      </w:r>
      <w:r>
        <w:rPr>
          <w:rFonts w:hint="eastAsia" w:ascii="宋体" w:hAnsi="宋体" w:eastAsia="宋体" w:cs="宋体"/>
          <w:b/>
          <w:bCs/>
          <w:sz w:val="32"/>
          <w:szCs w:val="32"/>
        </w:rPr>
        <w:t>：</w:t>
      </w:r>
      <w:sdt>
        <w:sdtPr>
          <w:rPr>
            <w:rFonts w:ascii="宋体" w:hAnsi="宋体" w:eastAsia="宋体" w:cs="Times New Roman"/>
            <w:color w:val="262626" w:themeColor="text1" w:themeTint="D9"/>
            <w:kern w:val="2"/>
            <w:sz w:val="21"/>
            <w:szCs w:val="22"/>
            <w:lang w:val="en-US" w:eastAsia="zh-CN" w:bidi="ar-SA"/>
            <w14:textFill>
              <w14:solidFill>
                <w14:schemeClr w14:val="tx1">
                  <w14:lumMod w14:val="85000"/>
                  <w14:lumOff w14:val="15000"/>
                </w14:schemeClr>
              </w14:solidFill>
            </w14:textFill>
          </w:rPr>
          <w:id w:val="147471870"/>
          <w15:color w:val="DBDBDB"/>
          <w:docPartObj>
            <w:docPartGallery w:val="Table of Contents"/>
            <w:docPartUnique/>
          </w:docPartObj>
        </w:sdtPr>
        <w:sdtEndPr>
          <w:rPr>
            <w:rFonts w:ascii="宋体" w:hAnsi="宋体" w:eastAsia="宋体" w:cs="Times New Roman"/>
            <w:b/>
            <w:bCs/>
            <w:color w:val="262626" w:themeColor="text1" w:themeTint="D9"/>
            <w:kern w:val="2"/>
            <w:sz w:val="32"/>
            <w:szCs w:val="32"/>
            <w:lang w:val="en-US" w:eastAsia="zh-CN" w:bidi="ar-SA"/>
            <w14:textFill>
              <w14:solidFill>
                <w14:schemeClr w14:val="tx1">
                  <w14:lumMod w14:val="85000"/>
                  <w14:lumOff w14:val="15000"/>
                </w14:schemeClr>
              </w14:solidFill>
            </w14:textFill>
          </w:rPr>
        </w:sdtEndPr>
        <w:sdtContent>
          <w:r>
            <w:rPr>
              <w:rFonts w:hint="eastAsia" w:ascii="宋体" w:hAnsi="宋体" w:cs="Times New Roman"/>
              <w:b/>
              <w:bCs/>
              <w:color w:val="262626" w:themeColor="text1" w:themeTint="D9"/>
              <w:kern w:val="2"/>
              <w:sz w:val="32"/>
              <w:szCs w:val="32"/>
              <w:lang w:val="en-US" w:eastAsia="zh-CN" w:bidi="ar-SA"/>
              <w14:textFill>
                <w14:solidFill>
                  <w14:schemeClr w14:val="tx1">
                    <w14:lumMod w14:val="85000"/>
                    <w14:lumOff w14:val="15000"/>
                  </w14:schemeClr>
                </w14:solidFill>
              </w14:textFill>
            </w:rPr>
            <w:t>南通理工学院教材采购招标</w:t>
          </w:r>
        </w:sdtContent>
      </w:sdt>
    </w:p>
    <w:p>
      <w:pPr>
        <w:jc w:val="center"/>
        <w:rPr>
          <w:rFonts w:hint="eastAsia" w:ascii="宋体" w:hAnsi="宋体" w:eastAsia="宋体" w:cs="宋体"/>
          <w:b/>
          <w:bCs/>
          <w:sz w:val="24"/>
          <w:szCs w:val="24"/>
          <w:lang w:eastAsia="zh-CN"/>
        </w:rPr>
      </w:pPr>
      <w:r>
        <w:rPr>
          <w:rFonts w:hint="eastAsia" w:ascii="宋体" w:hAnsi="宋体" w:cs="Times New Roman"/>
          <w:b/>
          <w:bCs/>
          <w:color w:val="262626" w:themeColor="text1" w:themeTint="D9"/>
          <w:kern w:val="2"/>
          <w:sz w:val="32"/>
          <w:szCs w:val="32"/>
          <w:lang w:val="en-US" w:eastAsia="zh-CN" w:bidi="ar-SA"/>
          <w14:textFill>
            <w14:solidFill>
              <w14:schemeClr w14:val="tx1">
                <w14:lumMod w14:val="85000"/>
                <w14:lumOff w14:val="15000"/>
              </w14:schemeClr>
            </w14:solidFill>
          </w14:textFill>
        </w:rPr>
        <w:t xml:space="preserve"> </w:t>
      </w:r>
      <w:r>
        <w:rPr>
          <w:rFonts w:hint="eastAsia" w:ascii="宋体" w:hAnsi="宋体" w:cs="宋体"/>
          <w:b/>
          <w:bCs/>
          <w:sz w:val="24"/>
          <w:szCs w:val="24"/>
          <w:lang w:eastAsia="zh-CN"/>
        </w:rPr>
        <w:t>（项目编号：</w:t>
      </w:r>
      <w:r>
        <w:rPr>
          <w:rFonts w:hint="eastAsia" w:ascii="宋体" w:hAnsi="宋体" w:cs="宋体"/>
          <w:b/>
          <w:bCs/>
          <w:sz w:val="24"/>
          <w:szCs w:val="24"/>
          <w:lang w:val="en-US" w:eastAsia="zh-CN"/>
        </w:rPr>
        <w:t>AMC192002012)</w:t>
      </w:r>
    </w:p>
    <w:p>
      <w:pPr>
        <w:pStyle w:val="2"/>
        <w:rPr>
          <w:rFonts w:hint="default" w:ascii="宋体" w:hAnsi="宋体" w:eastAsia="宋体" w:cs="Times New Roman"/>
          <w:b/>
          <w:bCs/>
          <w:color w:val="262626" w:themeColor="text1" w:themeTint="D9"/>
          <w:kern w:val="2"/>
          <w:sz w:val="32"/>
          <w:szCs w:val="32"/>
          <w:lang w:val="en-US" w:eastAsia="zh-CN" w:bidi="ar-SA"/>
          <w14:textFill>
            <w14:solidFill>
              <w14:schemeClr w14:val="tx1">
                <w14:lumMod w14:val="85000"/>
                <w14:lumOff w14:val="15000"/>
              </w14:schemeClr>
            </w14:solidFill>
          </w14:textFill>
        </w:rPr>
        <w:sectPr>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eastAsia="宋体" w:cs="宋体"/>
          <w:b/>
          <w:bCs/>
          <w:sz w:val="36"/>
          <w:szCs w:val="36"/>
          <w:lang w:eastAsia="zh-CN"/>
        </w:rPr>
      </w:pPr>
      <w:bookmarkStart w:id="0" w:name="_Toc26944"/>
      <w:r>
        <w:rPr>
          <w:rFonts w:hint="eastAsia" w:ascii="宋体" w:hAnsi="宋体" w:eastAsia="宋体" w:cs="宋体"/>
          <w:b/>
          <w:bCs/>
          <w:sz w:val="36"/>
          <w:szCs w:val="36"/>
          <w:lang w:eastAsia="zh-CN"/>
        </w:rPr>
        <w:t>南通理工学院教材供应投标邀请函</w:t>
      </w:r>
      <w:bookmarkEnd w:id="0"/>
    </w:p>
    <w:p>
      <w:pPr>
        <w:pStyle w:val="19"/>
        <w:bidi w:val="0"/>
        <w:spacing w:line="360" w:lineRule="auto"/>
        <w:ind w:firstLine="480" w:firstLineChars="200"/>
        <w:rPr>
          <w:rFonts w:hint="eastAsia" w:ascii="宋体" w:hAnsi="宋体" w:eastAsia="宋体" w:cs="宋体"/>
          <w:sz w:val="24"/>
          <w:szCs w:val="24"/>
        </w:rPr>
      </w:pPr>
    </w:p>
    <w:p>
      <w:pPr>
        <w:pStyle w:val="19"/>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为了适应当前高校教材供应形势的发展，进一步规范教材供应的程序，提高教材采购的透明度，根据上级部门及学校要求，我校决定对2020-202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学</w:t>
      </w:r>
      <w:r>
        <w:rPr>
          <w:rFonts w:hint="eastAsia" w:ascii="宋体" w:hAnsi="宋体" w:eastAsia="宋体" w:cs="宋体"/>
          <w:sz w:val="24"/>
          <w:szCs w:val="24"/>
        </w:rPr>
        <w:t>年的教材供应进行公开招标，诚挚邀请教材出版或经营单位参与投标。我们将本着“公开、公平、公正”的原则，严格按招标程序开展招标工作。请参与投标的单位认真阅读招标文件，精心做好相应的准备工作。</w:t>
      </w:r>
      <w:bookmarkStart w:id="1" w:name="_Toc18727"/>
    </w:p>
    <w:p>
      <w:pPr>
        <w:pStyle w:val="3"/>
        <w:bidi w:val="0"/>
        <w:spacing w:line="360" w:lineRule="auto"/>
        <w:rPr>
          <w:rFonts w:hint="eastAsia" w:ascii="宋体" w:hAnsi="宋体" w:eastAsia="宋体" w:cs="宋体"/>
          <w:b/>
          <w:bCs/>
          <w:sz w:val="24"/>
          <w:szCs w:val="24"/>
          <w:lang w:eastAsia="zh-CN"/>
        </w:rPr>
      </w:pPr>
      <w:bookmarkStart w:id="2" w:name="_Toc12788"/>
      <w:r>
        <w:rPr>
          <w:rFonts w:hint="eastAsia" w:ascii="宋体" w:hAnsi="宋体" w:eastAsia="宋体" w:cs="宋体"/>
          <w:b/>
          <w:bCs/>
          <w:sz w:val="24"/>
          <w:szCs w:val="24"/>
          <w:lang w:eastAsia="zh-CN"/>
        </w:rPr>
        <w:t>招标内容</w:t>
      </w:r>
      <w:bookmarkEnd w:id="2"/>
    </w:p>
    <w:bookmarkEnd w:id="1"/>
    <w:p>
      <w:pPr>
        <w:pStyle w:val="19"/>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南通理工</w:t>
      </w:r>
      <w:r>
        <w:rPr>
          <w:rFonts w:hint="eastAsia" w:ascii="宋体" w:hAnsi="宋体" w:eastAsia="宋体" w:cs="宋体"/>
          <w:sz w:val="24"/>
          <w:szCs w:val="24"/>
        </w:rPr>
        <w:t>学院2020-202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学</w:t>
      </w:r>
      <w:r>
        <w:rPr>
          <w:rFonts w:hint="eastAsia" w:ascii="宋体" w:hAnsi="宋体" w:eastAsia="宋体" w:cs="宋体"/>
          <w:sz w:val="24"/>
          <w:szCs w:val="24"/>
        </w:rPr>
        <w:t>年教材供应。</w:t>
      </w:r>
    </w:p>
    <w:p>
      <w:pPr>
        <w:pStyle w:val="3"/>
        <w:bidi w:val="0"/>
        <w:spacing w:line="360" w:lineRule="auto"/>
        <w:rPr>
          <w:rFonts w:hint="eastAsia" w:ascii="宋体" w:hAnsi="宋体" w:eastAsia="宋体" w:cs="宋体"/>
          <w:b/>
          <w:bCs/>
          <w:sz w:val="24"/>
          <w:szCs w:val="24"/>
        </w:rPr>
      </w:pPr>
      <w:bookmarkStart w:id="3" w:name="_Toc9428"/>
      <w:bookmarkStart w:id="4" w:name="_Toc26766"/>
      <w:r>
        <w:rPr>
          <w:rFonts w:hint="eastAsia" w:ascii="宋体" w:hAnsi="宋体" w:eastAsia="宋体" w:cs="宋体"/>
          <w:b/>
          <w:bCs/>
          <w:sz w:val="24"/>
          <w:szCs w:val="24"/>
        </w:rPr>
        <w:t>投标人资质要求</w:t>
      </w:r>
      <w:bookmarkEnd w:id="3"/>
      <w:bookmarkEnd w:id="4"/>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(一）符合《中华人民共和国政府采购法》第二十二条的规定，提供证明材料（包括但不限于）</w:t>
      </w:r>
      <w:r>
        <w:rPr>
          <w:rFonts w:hint="eastAsia" w:ascii="宋体" w:hAnsi="宋体" w:eastAsia="宋体" w:cs="宋体"/>
          <w:sz w:val="24"/>
          <w:szCs w:val="24"/>
          <w:lang w:eastAsia="zh-CN"/>
        </w:rPr>
        <w:t>：</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1.具有独立承担民事责任的能力，提供法人或其他组织的营业执照等证明文件，复印件加盖公章；</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2.法人代表授权书（原件）及法定代表人、授权代表身份证复印件（如果是法定代表人直接参与投标的可以不提供授权书）;</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3.具有良好的商业信誉和健全的财务会计制度，提供上一年度</w:t>
      </w:r>
      <w:r>
        <w:rPr>
          <w:rFonts w:hint="eastAsia" w:ascii="宋体" w:hAnsi="宋体" w:eastAsia="宋体" w:cs="宋体"/>
          <w:sz w:val="24"/>
          <w:szCs w:val="24"/>
          <w:lang w:eastAsia="zh-CN"/>
        </w:rPr>
        <w:t>经过</w:t>
      </w:r>
      <w:r>
        <w:rPr>
          <w:rFonts w:hint="eastAsia" w:ascii="宋体" w:hAnsi="宋体" w:eastAsia="宋体" w:cs="宋体"/>
          <w:sz w:val="24"/>
          <w:szCs w:val="24"/>
        </w:rPr>
        <w:t>审计的财务报告复印件加盖公章；</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4.具有履行合同所必需的设备和专业技术能力（根据项目需求提供履行合同所必需的设备和专业技术能力的证明材料或相关加盖公章的承诺函，承诺函自行编写）</w:t>
      </w:r>
      <w:r>
        <w:rPr>
          <w:rFonts w:hint="eastAsia" w:ascii="宋体" w:hAnsi="宋体" w:eastAsia="宋体" w:cs="宋体"/>
          <w:sz w:val="24"/>
          <w:szCs w:val="24"/>
          <w:lang w:eastAsia="zh-CN"/>
        </w:rPr>
        <w:t>；</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参加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r>
        <w:rPr>
          <w:rFonts w:hint="eastAsia" w:ascii="宋体" w:hAnsi="宋体" w:eastAsia="宋体" w:cs="宋体"/>
          <w:sz w:val="24"/>
          <w:szCs w:val="24"/>
          <w:lang w:eastAsia="zh-CN"/>
        </w:rPr>
        <w:t>；</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6.有依法缴纳税收的良好记录，提供距开标时间六个月内任意一个月份的纳税凭据复印件加盖公章（依法免税的应提供相应文件说明）</w:t>
      </w:r>
      <w:r>
        <w:rPr>
          <w:rFonts w:hint="eastAsia" w:ascii="宋体" w:hAnsi="宋体" w:eastAsia="宋体" w:cs="宋体"/>
          <w:sz w:val="24"/>
          <w:szCs w:val="24"/>
          <w:lang w:eastAsia="zh-CN"/>
        </w:rPr>
        <w:t>；</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7.有依法缴纳社会保障资金的良好记录，提供距开标时间六个月内任意一个月份的依法缴纳社会保障资金的凭据复印件加盖公章。</w:t>
      </w:r>
    </w:p>
    <w:p>
      <w:pPr>
        <w:pStyle w:val="19"/>
        <w:bidi w:val="0"/>
        <w:spacing w:line="360" w:lineRule="auto"/>
        <w:rPr>
          <w:rFonts w:hint="eastAsia" w:ascii="宋体" w:hAnsi="宋体" w:eastAsia="宋体" w:cs="宋体"/>
          <w:sz w:val="24"/>
          <w:szCs w:val="24"/>
        </w:rPr>
      </w:pPr>
      <w:r>
        <w:rPr>
          <w:rFonts w:hint="eastAsia" w:ascii="宋体" w:hAnsi="宋体" w:eastAsia="宋体" w:cs="宋体"/>
          <w:sz w:val="24"/>
          <w:szCs w:val="24"/>
        </w:rPr>
        <w:t>(二）投标人资质要求</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1.投标单位具备图书批发许可资质，具备高校教材的征订、储运、调剂、退换等能力。</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2.投标单位具有良好的工作业绩和服务能力，近</w:t>
      </w:r>
      <w:r>
        <w:rPr>
          <w:rFonts w:hint="eastAsia" w:ascii="宋体" w:hAnsi="宋体" w:eastAsia="宋体" w:cs="宋体"/>
          <w:sz w:val="24"/>
          <w:szCs w:val="24"/>
          <w:lang w:eastAsia="zh-CN"/>
        </w:rPr>
        <w:t>二</w:t>
      </w:r>
      <w:r>
        <w:rPr>
          <w:rFonts w:hint="eastAsia" w:ascii="宋体" w:hAnsi="宋体" w:eastAsia="宋体" w:cs="宋体"/>
          <w:sz w:val="24"/>
          <w:szCs w:val="24"/>
        </w:rPr>
        <w:t>年（201</w:t>
      </w:r>
      <w:r>
        <w:rPr>
          <w:rFonts w:hint="eastAsia" w:ascii="宋体" w:hAnsi="宋体" w:eastAsia="宋体" w:cs="宋体"/>
          <w:sz w:val="24"/>
          <w:szCs w:val="24"/>
          <w:lang w:val="en-US" w:eastAsia="zh-CN"/>
        </w:rPr>
        <w:t>8</w:t>
      </w:r>
      <w:r>
        <w:rPr>
          <w:rFonts w:hint="eastAsia" w:ascii="宋体" w:hAnsi="宋体" w:eastAsia="宋体" w:cs="宋体"/>
          <w:sz w:val="24"/>
          <w:szCs w:val="24"/>
        </w:rPr>
        <w:t>年-2019年）具有与</w:t>
      </w:r>
      <w:r>
        <w:rPr>
          <w:rFonts w:hint="eastAsia" w:ascii="宋体" w:hAnsi="宋体" w:eastAsia="宋体" w:cs="宋体"/>
          <w:sz w:val="24"/>
          <w:szCs w:val="24"/>
          <w:lang w:eastAsia="zh-CN"/>
        </w:rPr>
        <w:t>江苏省内十</w:t>
      </w:r>
      <w:r>
        <w:rPr>
          <w:rFonts w:hint="eastAsia" w:ascii="宋体" w:hAnsi="宋体" w:eastAsia="宋体" w:cs="宋体"/>
          <w:sz w:val="24"/>
          <w:szCs w:val="24"/>
        </w:rPr>
        <w:t>家以上（含</w:t>
      </w:r>
      <w:r>
        <w:rPr>
          <w:rFonts w:hint="eastAsia" w:ascii="宋体" w:hAnsi="宋体" w:eastAsia="宋体" w:cs="宋体"/>
          <w:sz w:val="24"/>
          <w:szCs w:val="24"/>
          <w:lang w:eastAsia="zh-CN"/>
        </w:rPr>
        <w:t>十</w:t>
      </w:r>
      <w:r>
        <w:rPr>
          <w:rFonts w:hint="eastAsia" w:ascii="宋体" w:hAnsi="宋体" w:eastAsia="宋体" w:cs="宋体"/>
          <w:sz w:val="24"/>
          <w:szCs w:val="24"/>
        </w:rPr>
        <w:t>家）公办本科院校进行教材供应合作的经验。</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本项目不接受联合体投标</w:t>
      </w:r>
    </w:p>
    <w:p>
      <w:pPr>
        <w:pStyle w:val="19"/>
        <w:bidi w:val="0"/>
        <w:spacing w:line="360" w:lineRule="auto"/>
        <w:rPr>
          <w:rFonts w:hint="eastAsia" w:ascii="宋体" w:hAnsi="宋体" w:eastAsia="宋体" w:cs="宋体"/>
          <w:sz w:val="24"/>
          <w:szCs w:val="24"/>
        </w:rPr>
      </w:pPr>
      <w:r>
        <w:rPr>
          <w:rFonts w:hint="eastAsia" w:ascii="宋体" w:hAnsi="宋体" w:eastAsia="宋体" w:cs="宋体"/>
          <w:sz w:val="24"/>
          <w:szCs w:val="24"/>
        </w:rPr>
        <w:t>(四）拒绝下述供应商参加本次采购活动的情形：</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供应商单位负责人为同一人或者存在直接控股、管理关系的不同供应商，不得参加同一合同项下的采购活动。</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凡为采购项目提供整体设计、规范编制或者项目管理、监理、检测等服务的供应商，不得再参加本项目的采购活动。</w:t>
      </w:r>
    </w:p>
    <w:p>
      <w:pPr>
        <w:pStyle w:val="19"/>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拒绝列入失信被执行人、重大税收违法案件当事人名单、政府采购严重违法失信行为记录名单的供应商参与采购活动。采购人在评标时通过“信用中国”网站(www.creditchina.gov.cn)、中国政府采购网(www.ccgp.gov.cn)、“信用中国（江苏）”网站（www.jscredit.cn)等渠道查询供应商在招标公告发布之日前的信用记录并保存。</w:t>
      </w:r>
    </w:p>
    <w:p>
      <w:pPr>
        <w:pStyle w:val="19"/>
        <w:bidi w:val="0"/>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联合体成员存在不良信用记录的，视同联合体存在不良信用记录。</w:t>
      </w:r>
    </w:p>
    <w:p>
      <w:pPr>
        <w:numPr>
          <w:ilvl w:val="0"/>
          <w:numId w:val="0"/>
        </w:numPr>
        <w:spacing w:line="360" w:lineRule="auto"/>
        <w:ind w:leftChars="0"/>
        <w:outlineLvl w:val="0"/>
        <w:rPr>
          <w:rFonts w:hint="eastAsia" w:ascii="宋体" w:hAnsi="宋体" w:eastAsia="宋体" w:cs="宋体"/>
          <w:b/>
          <w:bCs w:val="0"/>
          <w:sz w:val="24"/>
          <w:szCs w:val="24"/>
        </w:rPr>
      </w:pPr>
      <w:bookmarkStart w:id="5" w:name="_Toc23249"/>
      <w:bookmarkStart w:id="6" w:name="_Toc18991"/>
      <w:r>
        <w:rPr>
          <w:rFonts w:hint="eastAsia" w:ascii="宋体" w:hAnsi="宋体" w:eastAsia="宋体" w:cs="宋体"/>
          <w:b/>
          <w:bCs w:val="0"/>
          <w:sz w:val="24"/>
          <w:szCs w:val="24"/>
        </w:rPr>
        <w:t>三、投标文件组成及要求：</w:t>
      </w:r>
      <w:bookmarkEnd w:id="5"/>
      <w:bookmarkEnd w:id="6"/>
    </w:p>
    <w:p>
      <w:pPr>
        <w:numPr>
          <w:ilvl w:val="0"/>
          <w:numId w:val="0"/>
        </w:num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除以上投标人资质要求相关证明材料外，还需提供以下材料：</w:t>
      </w:r>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1</w:t>
      </w:r>
      <w:r>
        <w:rPr>
          <w:rFonts w:hint="eastAsia" w:ascii="宋体" w:hAnsi="宋体" w:cs="宋体"/>
          <w:b w:val="0"/>
          <w:bCs/>
          <w:sz w:val="24"/>
          <w:szCs w:val="24"/>
          <w:lang w:val="en-US" w:eastAsia="zh-CN"/>
        </w:rPr>
        <w:t>.</w:t>
      </w:r>
      <w:r>
        <w:rPr>
          <w:rFonts w:hint="eastAsia" w:ascii="宋体" w:hAnsi="宋体" w:eastAsia="宋体" w:cs="宋体"/>
          <w:b w:val="0"/>
          <w:bCs/>
          <w:sz w:val="24"/>
          <w:szCs w:val="24"/>
        </w:rPr>
        <w:t>企业三证一照（税务登记证、出版物经营许可证、组织</w:t>
      </w:r>
      <w:r>
        <w:rPr>
          <w:rFonts w:hint="eastAsia" w:ascii="宋体" w:hAnsi="宋体" w:eastAsia="宋体" w:cs="宋体"/>
          <w:b w:val="0"/>
          <w:bCs/>
          <w:sz w:val="24"/>
          <w:szCs w:val="24"/>
          <w:lang w:eastAsia="zh-CN"/>
        </w:rPr>
        <w:t>机构代码证、企业法人营业执照）复印件加盖单位印章，投标方送投标书时须携带三证一照副本原件备验；</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2.各种资质证书（含代理各出版社的代理证书）;</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3.企业主要业绩及相应证明材料；</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4.公司或出版社概况；</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5.报价单（附件1)</w:t>
      </w:r>
      <w:r>
        <w:rPr>
          <w:rFonts w:hint="eastAsia" w:ascii="宋体" w:hAnsi="宋体" w:cs="宋体"/>
          <w:b w:val="0"/>
          <w:bCs/>
          <w:sz w:val="24"/>
          <w:szCs w:val="24"/>
          <w:lang w:eastAsia="zh-CN"/>
        </w:rPr>
        <w:t>；</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6.服务承诺书（附件2)。</w:t>
      </w:r>
    </w:p>
    <w:p>
      <w:pPr>
        <w:numPr>
          <w:ilvl w:val="0"/>
          <w:numId w:val="0"/>
        </w:numPr>
        <w:spacing w:line="360" w:lineRule="auto"/>
        <w:outlineLvl w:val="0"/>
        <w:rPr>
          <w:rFonts w:hint="eastAsia" w:ascii="宋体" w:hAnsi="宋体" w:eastAsia="宋体" w:cs="宋体"/>
          <w:b/>
          <w:bCs w:val="0"/>
          <w:sz w:val="24"/>
          <w:szCs w:val="24"/>
          <w:lang w:eastAsia="zh-CN"/>
        </w:rPr>
      </w:pPr>
      <w:bookmarkStart w:id="7" w:name="_Toc10560"/>
      <w:bookmarkStart w:id="8" w:name="_Toc12584"/>
      <w:r>
        <w:rPr>
          <w:rFonts w:hint="eastAsia" w:ascii="宋体" w:hAnsi="宋体" w:eastAsia="宋体" w:cs="宋体"/>
          <w:b/>
          <w:bCs w:val="0"/>
          <w:sz w:val="24"/>
          <w:szCs w:val="24"/>
          <w:lang w:eastAsia="zh-CN"/>
        </w:rPr>
        <w:t>四、投标方承诺</w:t>
      </w:r>
      <w:bookmarkEnd w:id="7"/>
      <w:bookmarkEnd w:id="8"/>
    </w:p>
    <w:p>
      <w:pPr>
        <w:numPr>
          <w:ilvl w:val="0"/>
          <w:numId w:val="0"/>
        </w:num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1.确保正版教材，保证不因版权、税务等法律问题受第三方起诉；</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2.中标后，乙方将无条件接收甲方所发出的任何出版社的教材供应，并保证按招标折扣统一供应；</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3.接收订单后，乙方须及时反馈信息，更换替代品种需经甲方认可；除发生不可抗拒事件外，乙方必须保证甲方规定的交货时间；</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4.乙方配送供应，须提供送货清单并按甲方要求搬运入库，配送费用全部由乙方承担；</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5.如有倒装、缺页等质量问题，乙方无条件及时更换；</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6.补订教材，乙方保证7~10天内供货；</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7.对本供应周期内产生的剩余教材，乙方保证无条件退货；</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8.乙方承诺履行投标文件中所提供的各项服务内容。</w:t>
      </w:r>
    </w:p>
    <w:p>
      <w:pPr>
        <w:numPr>
          <w:ilvl w:val="0"/>
          <w:numId w:val="0"/>
        </w:numPr>
        <w:spacing w:line="360" w:lineRule="auto"/>
        <w:ind w:left="0" w:leftChars="0" w:firstLine="482" w:firstLineChars="200"/>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以上承诺内容，投标方须另单独作为附件提供。</w:t>
      </w:r>
    </w:p>
    <w:p>
      <w:pPr>
        <w:numPr>
          <w:ilvl w:val="0"/>
          <w:numId w:val="0"/>
        </w:numPr>
        <w:spacing w:line="360" w:lineRule="auto"/>
        <w:outlineLvl w:val="0"/>
        <w:rPr>
          <w:rFonts w:hint="eastAsia" w:ascii="宋体" w:hAnsi="宋体" w:eastAsia="宋体" w:cs="宋体"/>
          <w:b/>
          <w:bCs w:val="0"/>
          <w:sz w:val="24"/>
          <w:szCs w:val="24"/>
          <w:lang w:eastAsia="zh-CN"/>
        </w:rPr>
      </w:pPr>
      <w:bookmarkStart w:id="9" w:name="_Toc22528"/>
      <w:bookmarkStart w:id="10" w:name="_Toc13969"/>
      <w:r>
        <w:rPr>
          <w:rFonts w:hint="eastAsia" w:ascii="宋体" w:hAnsi="宋体" w:eastAsia="宋体" w:cs="宋体"/>
          <w:b/>
          <w:bCs w:val="0"/>
          <w:sz w:val="24"/>
          <w:szCs w:val="24"/>
          <w:lang w:eastAsia="zh-CN"/>
        </w:rPr>
        <w:t>五、评标方法</w:t>
      </w:r>
      <w:bookmarkEnd w:id="9"/>
      <w:bookmarkEnd w:id="10"/>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本次招标采用综合评估法，确保性价比最优。最终确定</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家教材供应商</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1.招标工作组集体决策，遵循公开、公平、公正的原则；</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2.坚持质量优先、服务至上、价格合理，不保证最低报价中标；</w:t>
      </w:r>
    </w:p>
    <w:p>
      <w:pPr>
        <w:numPr>
          <w:ilvl w:val="0"/>
          <w:numId w:val="0"/>
        </w:numPr>
        <w:spacing w:line="360" w:lineRule="auto"/>
        <w:ind w:left="0" w:leftChars="0"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3.强化竞争机制，贯彻统一、规范、简化、高效的要求；</w:t>
      </w:r>
    </w:p>
    <w:p>
      <w:pPr>
        <w:pStyle w:val="6"/>
        <w:numPr>
          <w:ilvl w:val="3"/>
          <w:numId w:val="0"/>
        </w:numPr>
        <w:spacing w:line="240" w:lineRule="auto"/>
        <w:ind w:leftChars="0"/>
        <w:outlineLvl w:val="0"/>
        <w:rPr>
          <w:rFonts w:hint="eastAsia" w:ascii="宋体" w:hAnsi="宋体" w:eastAsia="宋体" w:cs="宋体"/>
          <w:b/>
          <w:bCs w:val="0"/>
          <w:sz w:val="24"/>
          <w:szCs w:val="24"/>
          <w:lang w:eastAsia="zh-CN"/>
        </w:rPr>
      </w:pPr>
      <w:bookmarkStart w:id="11" w:name="_Toc8332"/>
      <w:bookmarkStart w:id="12" w:name="_Toc30985"/>
      <w:r>
        <w:rPr>
          <w:rFonts w:hint="eastAsia" w:ascii="宋体" w:hAnsi="宋体" w:eastAsia="宋体" w:cs="宋体"/>
          <w:b/>
          <w:bCs w:val="0"/>
          <w:sz w:val="24"/>
          <w:szCs w:val="24"/>
          <w:lang w:eastAsia="zh-CN"/>
        </w:rPr>
        <w:t>六、有关要求</w:t>
      </w:r>
      <w:bookmarkEnd w:id="11"/>
      <w:bookmarkEnd w:id="12"/>
    </w:p>
    <w:p>
      <w:pPr>
        <w:pStyle w:val="19"/>
        <w:bidi w:val="0"/>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1.付款方式：</w:t>
      </w:r>
      <w:r>
        <w:rPr>
          <w:rFonts w:hint="eastAsia" w:ascii="宋体" w:hAnsi="宋体" w:eastAsia="宋体" w:cs="宋体"/>
          <w:b w:val="0"/>
          <w:bCs w:val="0"/>
          <w:sz w:val="24"/>
          <w:szCs w:val="24"/>
          <w:lang w:val="en-US" w:eastAsia="zh-CN"/>
        </w:rPr>
        <w:t>由乙方自行提出，必须注明，同时付款方式作为评分依据</w:t>
      </w:r>
      <w:r>
        <w:rPr>
          <w:rFonts w:hint="eastAsia" w:ascii="宋体" w:hAnsi="宋体" w:eastAsia="宋体" w:cs="宋体"/>
          <w:sz w:val="24"/>
          <w:szCs w:val="24"/>
          <w:lang w:eastAsia="zh-CN"/>
        </w:rPr>
        <w:t>；</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2.严格按照招标文件要求提供投标文件，其内容应保证真实完整；</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3.“两课”教材根据上级行政主管部门相关文件要求进行征订；根据文件要求，此类教材以教材定价无折扣进行结算。</w:t>
      </w:r>
    </w:p>
    <w:p>
      <w:pPr>
        <w:pStyle w:val="19"/>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4.所报价格包含税费、运费、入库、教材分发、分类、相关配套服务等所有费用。</w:t>
      </w:r>
    </w:p>
    <w:p>
      <w:pPr>
        <w:pStyle w:val="19"/>
        <w:bidi w:val="0"/>
        <w:spacing w:line="360" w:lineRule="auto"/>
        <w:outlineLvl w:val="0"/>
        <w:rPr>
          <w:rFonts w:hint="eastAsia" w:ascii="宋体" w:hAnsi="宋体" w:eastAsia="宋体" w:cs="宋体"/>
          <w:b/>
          <w:bCs/>
          <w:sz w:val="24"/>
          <w:szCs w:val="24"/>
          <w:lang w:eastAsia="zh-CN"/>
        </w:rPr>
      </w:pPr>
      <w:bookmarkStart w:id="13" w:name="_Toc29819"/>
      <w:bookmarkStart w:id="14" w:name="_Toc8114"/>
      <w:r>
        <w:rPr>
          <w:rFonts w:hint="eastAsia" w:ascii="宋体" w:hAnsi="宋体" w:eastAsia="宋体" w:cs="宋体"/>
          <w:b/>
          <w:bCs/>
          <w:sz w:val="24"/>
          <w:szCs w:val="24"/>
          <w:lang w:eastAsia="zh-CN"/>
        </w:rPr>
        <w:t>七、其他</w:t>
      </w:r>
      <w:bookmarkEnd w:id="13"/>
      <w:bookmarkEnd w:id="14"/>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投标方自行承担所有参与投标的有关费用。</w:t>
      </w:r>
      <w:r>
        <w:rPr>
          <w:rFonts w:hint="eastAsia" w:ascii="宋体" w:hAnsi="宋体" w:eastAsia="宋体" w:cs="宋体"/>
          <w:b/>
          <w:bCs/>
          <w:sz w:val="24"/>
          <w:szCs w:val="24"/>
          <w:lang w:eastAsia="zh-CN"/>
        </w:rPr>
        <w:t>招标文件费：</w:t>
      </w:r>
      <w:r>
        <w:rPr>
          <w:rFonts w:hint="eastAsia" w:ascii="宋体" w:hAnsi="宋体" w:eastAsia="宋体" w:cs="宋体"/>
          <w:b/>
          <w:bCs/>
          <w:sz w:val="24"/>
          <w:szCs w:val="24"/>
        </w:rPr>
        <w:t>人民币</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00元（现金，</w:t>
      </w:r>
      <w:r>
        <w:rPr>
          <w:rFonts w:hint="eastAsia" w:ascii="宋体" w:hAnsi="宋体" w:eastAsia="宋体" w:cs="宋体"/>
          <w:b/>
          <w:bCs/>
          <w:sz w:val="24"/>
          <w:szCs w:val="24"/>
          <w:lang w:eastAsia="zh-CN"/>
        </w:rPr>
        <w:t>递交投标文件时现场缴纳，</w:t>
      </w:r>
      <w:r>
        <w:rPr>
          <w:rFonts w:hint="eastAsia" w:ascii="宋体" w:hAnsi="宋体" w:eastAsia="宋体" w:cs="宋体"/>
          <w:b/>
          <w:bCs/>
          <w:sz w:val="24"/>
          <w:szCs w:val="24"/>
          <w:lang w:val="en-US" w:eastAsia="zh-CN"/>
        </w:rPr>
        <w:t>售</w:t>
      </w:r>
      <w:r>
        <w:rPr>
          <w:rFonts w:hint="eastAsia" w:ascii="宋体" w:hAnsi="宋体" w:eastAsia="宋体" w:cs="宋体"/>
          <w:b/>
          <w:bCs/>
          <w:sz w:val="24"/>
          <w:szCs w:val="24"/>
        </w:rPr>
        <w:t>后不退）</w:t>
      </w:r>
      <w:r>
        <w:rPr>
          <w:rFonts w:hint="eastAsia" w:ascii="宋体" w:hAnsi="宋体" w:eastAsia="宋体" w:cs="宋体"/>
          <w:b/>
          <w:bCs/>
          <w:sz w:val="24"/>
          <w:szCs w:val="24"/>
          <w:lang w:eastAsia="zh-CN"/>
        </w:rPr>
        <w:t>；</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1.投标人一旦领取了本次招标文件并参与投标，即被认为接受了本次招标文件的所有条件和规定；</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2.投标书应为正本、副本各一份（包装一）,报价表二份（包装二）。严禁将报价表封入包装一内，否则将视为废标处理。包装（二）应注明“请于</w:t>
      </w:r>
      <w:r>
        <w:rPr>
          <w:rFonts w:hint="eastAsia" w:ascii="宋体" w:hAnsi="宋体" w:eastAsia="宋体" w:cs="宋体"/>
          <w:sz w:val="24"/>
          <w:szCs w:val="24"/>
          <w:lang w:val="en-US" w:eastAsia="zh-CN"/>
        </w:rPr>
        <w:t>2020</w:t>
      </w:r>
      <w:r>
        <w:rPr>
          <w:rFonts w:hint="eastAsia" w:ascii="宋体" w:hAnsi="宋体" w:eastAsia="宋体" w:cs="宋体"/>
          <w:sz w:val="24"/>
          <w:szCs w:val="24"/>
          <w:lang w:eastAsia="zh-CN"/>
        </w:rPr>
        <w:t>年评标日前勿拆封”字样，并加盖骑缝章（所有报价及承诺事项请加盖公司印章）;</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3.招标文件不得自行转让或复制，仅作为本次招标使用；</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4.所有投标资料恕不退还；</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5.</w:t>
      </w:r>
      <w:bookmarkStart w:id="15" w:name="OLE_LINK1"/>
      <w:r>
        <w:rPr>
          <w:rFonts w:hint="eastAsia" w:ascii="宋体" w:hAnsi="宋体" w:cs="宋体"/>
          <w:sz w:val="24"/>
          <w:szCs w:val="24"/>
          <w:lang w:val="en-US" w:eastAsia="zh-CN"/>
        </w:rPr>
        <w:t>投标报名时间：采取网上报名，2020年4月</w:t>
      </w:r>
      <w:r>
        <w:rPr>
          <w:rFonts w:hint="eastAsia" w:ascii="宋体" w:hAnsi="宋体" w:cs="宋体"/>
          <w:color w:val="0000FF"/>
          <w:sz w:val="24"/>
          <w:szCs w:val="24"/>
          <w:lang w:val="en-US" w:eastAsia="zh-CN"/>
        </w:rPr>
        <w:t>13</w:t>
      </w:r>
      <w:r>
        <w:rPr>
          <w:rFonts w:hint="eastAsia" w:ascii="宋体" w:hAnsi="宋体" w:cs="宋体"/>
          <w:sz w:val="24"/>
          <w:szCs w:val="24"/>
          <w:lang w:val="en-US" w:eastAsia="zh-CN"/>
        </w:rPr>
        <w:t>日前发送邮件至372565224@qq.com，邮件主题注明：“（公司名称）参加南通理工学院×××××××投标报名”，邮件内容须写明联系人、联系电话、公司开户行、账号。</w:t>
      </w:r>
      <w:bookmarkEnd w:id="15"/>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递交投标文件时间：</w:t>
      </w:r>
      <w:r>
        <w:rPr>
          <w:rFonts w:hint="eastAsia" w:ascii="宋体" w:hAnsi="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cs="宋体"/>
          <w:color w:val="0070C0"/>
          <w:sz w:val="24"/>
          <w:szCs w:val="24"/>
          <w:lang w:val="en-US" w:eastAsia="zh-CN"/>
        </w:rPr>
        <w:t>20</w:t>
      </w:r>
      <w:r>
        <w:rPr>
          <w:rFonts w:hint="eastAsia" w:ascii="宋体" w:hAnsi="宋体" w:eastAsia="宋体" w:cs="宋体"/>
          <w:color w:val="auto"/>
          <w:sz w:val="24"/>
          <w:szCs w:val="24"/>
        </w:rPr>
        <w:t>日</w:t>
      </w:r>
      <w:r>
        <w:rPr>
          <w:rFonts w:hint="eastAsia" w:ascii="宋体" w:hAnsi="宋体" w:cs="宋体"/>
          <w:sz w:val="24"/>
          <w:szCs w:val="24"/>
          <w:lang w:val="en-US" w:eastAsia="zh-CN"/>
        </w:rPr>
        <w:t>9:00-11:00</w:t>
      </w:r>
      <w:r>
        <w:rPr>
          <w:rFonts w:hint="eastAsia" w:ascii="宋体" w:hAnsi="宋体" w:eastAsia="宋体" w:cs="宋体"/>
          <w:sz w:val="24"/>
          <w:szCs w:val="24"/>
        </w:rPr>
        <w:t>将投标文件（要求密封）递交我校</w:t>
      </w:r>
      <w:r>
        <w:rPr>
          <w:rFonts w:hint="eastAsia" w:ascii="宋体" w:hAnsi="宋体" w:cs="宋体"/>
          <w:sz w:val="24"/>
          <w:szCs w:val="24"/>
          <w:lang w:val="en-US" w:eastAsia="zh-CN"/>
        </w:rPr>
        <w:t>资产与基建</w:t>
      </w:r>
      <w:r>
        <w:rPr>
          <w:rFonts w:hint="eastAsia" w:ascii="宋体" w:hAnsi="宋体" w:eastAsia="宋体" w:cs="宋体"/>
          <w:sz w:val="24"/>
          <w:szCs w:val="24"/>
        </w:rPr>
        <w:t>处资产管理中心。</w:t>
      </w:r>
    </w:p>
    <w:p>
      <w:pPr>
        <w:snapToGrid w:val="0"/>
        <w:spacing w:line="360" w:lineRule="exact"/>
        <w:ind w:firstLine="480" w:firstLineChars="200"/>
        <w:rPr>
          <w:rFonts w:hint="eastAsia" w:ascii="宋体" w:hAnsi="宋体" w:eastAsia="宋体" w:cs="宋体"/>
          <w:sz w:val="24"/>
          <w:szCs w:val="24"/>
          <w:lang w:eastAsia="zh-CN"/>
        </w:rPr>
      </w:pPr>
      <w:r>
        <w:rPr>
          <w:rFonts w:hint="eastAsia" w:ascii="宋体" w:hAnsi="宋体" w:cs="宋体"/>
          <w:color w:val="FF0000"/>
          <w:sz w:val="24"/>
          <w:szCs w:val="24"/>
          <w:lang w:val="en-US" w:eastAsia="zh-CN"/>
        </w:rPr>
        <w:t>●开标时间另行通知。</w:t>
      </w:r>
    </w:p>
    <w:p>
      <w:pPr>
        <w:pStyle w:val="19"/>
        <w:bidi w:val="0"/>
        <w:spacing w:line="360" w:lineRule="auto"/>
        <w:ind w:left="480" w:leftChars="20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7.下列情况属于重大偏差：</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(1)投标文件没有投标人或委托代表签字和加盖公章；</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(2)投标文件载明的招标项目完成期限超过招标文件规定的期限</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(4)不符合招标文件中规定的其他实质性要求；</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(5)自行转让或复制招标文件。</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投标文件有上述情形之一的，以未能对招标文件作出实质性响应，作废标处理。</w:t>
      </w:r>
    </w:p>
    <w:p>
      <w:pPr>
        <w:pStyle w:val="19"/>
        <w:bidi w:val="0"/>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8.投标人必须向招标人提供真实的资料，若投标人所提供资料不真实，一经查实，即取消中标资格或终止合同。</w:t>
      </w:r>
    </w:p>
    <w:p>
      <w:pPr>
        <w:snapToGrid w:val="0"/>
        <w:spacing w:line="360" w:lineRule="auto"/>
        <w:ind w:left="0" w:leftChars="0" w:firstLine="0" w:firstLineChars="0"/>
        <w:rPr>
          <w:rFonts w:hint="eastAsia" w:ascii="宋体" w:hAnsi="宋体" w:cs="宋体"/>
          <w:b/>
          <w:bCs/>
          <w:sz w:val="24"/>
          <w:szCs w:val="24"/>
        </w:rPr>
      </w:pPr>
      <w:bookmarkStart w:id="16" w:name="_Toc18630"/>
      <w:r>
        <w:rPr>
          <w:rFonts w:hint="eastAsia" w:ascii="宋体" w:hAnsi="宋体" w:cs="宋体"/>
          <w:b/>
          <w:bCs/>
          <w:sz w:val="24"/>
          <w:szCs w:val="24"/>
          <w:lang w:eastAsia="zh-CN"/>
        </w:rPr>
        <w:t>八</w:t>
      </w:r>
      <w:r>
        <w:rPr>
          <w:rFonts w:hint="eastAsia" w:ascii="宋体" w:hAnsi="宋体" w:cs="宋体"/>
          <w:b/>
          <w:bCs/>
          <w:sz w:val="24"/>
          <w:szCs w:val="24"/>
        </w:rPr>
        <w:t>、与本次谈判有关的商务事宜请按下列通讯方式联系</w:t>
      </w:r>
    </w:p>
    <w:p>
      <w:pPr>
        <w:snapToGrid w:val="0"/>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单位部门：南通理工学院</w:t>
      </w:r>
      <w:r>
        <w:rPr>
          <w:rFonts w:hint="eastAsia" w:ascii="宋体" w:hAnsi="宋体" w:cs="宋体"/>
          <w:sz w:val="24"/>
          <w:szCs w:val="24"/>
          <w:lang w:val="en-US" w:eastAsia="zh-CN"/>
        </w:rPr>
        <w:t>资产与基建</w:t>
      </w:r>
      <w:r>
        <w:rPr>
          <w:rFonts w:hint="eastAsia" w:ascii="宋体" w:hAnsi="宋体" w:cs="宋体"/>
          <w:sz w:val="24"/>
          <w:szCs w:val="24"/>
        </w:rPr>
        <w:t>处</w:t>
      </w:r>
    </w:p>
    <w:p>
      <w:pPr>
        <w:snapToGrid w:val="0"/>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联系地址：江苏省南通市港闸区永兴路14号，</w:t>
      </w:r>
      <w:r>
        <w:rPr>
          <w:rFonts w:hint="eastAsia" w:ascii="宋体" w:hAnsi="宋体" w:cs="宋体"/>
          <w:sz w:val="24"/>
          <w:szCs w:val="24"/>
          <w:lang w:val="en-US" w:eastAsia="zh-CN"/>
        </w:rPr>
        <w:t>资产与基建</w:t>
      </w:r>
      <w:r>
        <w:rPr>
          <w:rFonts w:hint="eastAsia" w:ascii="宋体" w:hAnsi="宋体" w:cs="宋体"/>
          <w:sz w:val="24"/>
          <w:szCs w:val="24"/>
        </w:rPr>
        <w:t>处211办公室。</w:t>
      </w:r>
    </w:p>
    <w:p>
      <w:pPr>
        <w:snapToGrid w:val="0"/>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邮政编码：226002</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联系人：蔡老师</w:t>
      </w:r>
    </w:p>
    <w:p>
      <w:pPr>
        <w:snapToGrid w:val="0"/>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联系电话：0513-85301108</w:t>
      </w:r>
      <w:r>
        <w:rPr>
          <w:rFonts w:hint="eastAsia" w:ascii="宋体" w:hAnsi="宋体" w:cs="宋体"/>
          <w:sz w:val="24"/>
          <w:szCs w:val="24"/>
          <w:lang w:eastAsia="zh-CN"/>
        </w:rPr>
        <w:t>，</w:t>
      </w:r>
      <w:r>
        <w:rPr>
          <w:rFonts w:hint="eastAsia" w:ascii="宋体" w:hAnsi="宋体" w:cs="宋体"/>
          <w:sz w:val="24"/>
          <w:szCs w:val="24"/>
          <w:lang w:val="en-US" w:eastAsia="zh-CN"/>
        </w:rPr>
        <w:t>13813609710。</w:t>
      </w:r>
      <w:r>
        <w:rPr>
          <w:rFonts w:hint="eastAsia" w:ascii="宋体" w:hAnsi="宋体" w:cs="宋体"/>
          <w:sz w:val="24"/>
          <w:szCs w:val="24"/>
        </w:rPr>
        <w:t>Email：</w:t>
      </w:r>
      <w:r>
        <w:rPr>
          <w:rFonts w:hint="eastAsia" w:ascii="宋体" w:hAnsi="宋体" w:cs="宋体"/>
          <w:sz w:val="24"/>
          <w:szCs w:val="24"/>
        </w:rPr>
        <w:fldChar w:fldCharType="begin"/>
      </w:r>
      <w:r>
        <w:rPr>
          <w:rFonts w:hint="eastAsia" w:ascii="宋体" w:hAnsi="宋体" w:cs="宋体"/>
          <w:sz w:val="24"/>
          <w:szCs w:val="24"/>
        </w:rPr>
        <w:instrText xml:space="preserve"> HYPERLINK "mailto:372565224@qq.com" </w:instrText>
      </w:r>
      <w:r>
        <w:rPr>
          <w:rFonts w:hint="eastAsia" w:ascii="宋体" w:hAnsi="宋体" w:cs="宋体"/>
          <w:sz w:val="24"/>
          <w:szCs w:val="24"/>
        </w:rPr>
        <w:fldChar w:fldCharType="separate"/>
      </w:r>
      <w:r>
        <w:rPr>
          <w:rFonts w:hint="eastAsia" w:ascii="宋体" w:hAnsi="宋体" w:cs="宋体"/>
          <w:sz w:val="24"/>
          <w:szCs w:val="24"/>
        </w:rPr>
        <w:t>372565224@qq.com</w:t>
      </w:r>
      <w:r>
        <w:rPr>
          <w:rFonts w:hint="eastAsia" w:ascii="宋体" w:hAnsi="宋体" w:cs="宋体"/>
          <w:sz w:val="24"/>
          <w:szCs w:val="24"/>
        </w:rPr>
        <w:fldChar w:fldCharType="end"/>
      </w:r>
      <w:r>
        <w:rPr>
          <w:rFonts w:hint="eastAsia" w:ascii="宋体" w:hAnsi="宋体" w:cs="宋体"/>
          <w:sz w:val="24"/>
          <w:szCs w:val="24"/>
        </w:rPr>
        <w:t>。</w:t>
      </w:r>
    </w:p>
    <w:p>
      <w:pPr>
        <w:pStyle w:val="14"/>
        <w:widowControl/>
        <w:spacing w:beforeAutospacing="0" w:afterAutospacing="0" w:line="360" w:lineRule="auto"/>
        <w:ind w:left="0" w:leftChars="0" w:firstLine="480" w:firstLineChars="200"/>
        <w:rPr>
          <w:rFonts w:hint="default" w:ascii="仿宋" w:hAnsi="仿宋" w:eastAsia="仿宋" w:cs="仿宋"/>
          <w:color w:val="FF0000"/>
          <w:kern w:val="2"/>
          <w:sz w:val="24"/>
          <w:szCs w:val="24"/>
          <w:lang w:val="en-US" w:eastAsia="zh-CN"/>
        </w:rPr>
      </w:pPr>
      <w:r>
        <w:rPr>
          <w:rFonts w:hint="eastAsia" w:ascii="仿宋" w:hAnsi="仿宋" w:eastAsia="仿宋" w:cs="仿宋"/>
          <w:color w:val="FF0000"/>
          <w:kern w:val="2"/>
          <w:sz w:val="24"/>
          <w:szCs w:val="24"/>
          <w:lang w:val="en-US" w:eastAsia="zh-CN"/>
        </w:rPr>
        <w:t>咨询时间：8:30-11:00,14:00-16:30</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bookmarkEnd w:id="16"/>
    <w:p>
      <w:pPr>
        <w:pStyle w:val="4"/>
        <w:bidi w:val="0"/>
        <w:jc w:val="left"/>
        <w:outlineLvl w:val="0"/>
        <w:rPr>
          <w:rFonts w:hint="eastAsia" w:ascii="黑体" w:hAnsi="黑体" w:eastAsia="黑体" w:cs="黑体"/>
          <w:b w:val="0"/>
          <w:bCs w:val="0"/>
          <w:sz w:val="32"/>
          <w:szCs w:val="32"/>
          <w:lang w:val="en-US" w:eastAsia="zh-CN"/>
        </w:rPr>
      </w:pPr>
      <w:bookmarkStart w:id="17" w:name="_Toc21069"/>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 xml:space="preserve">1  </w:t>
      </w:r>
    </w:p>
    <w:p>
      <w:pPr>
        <w:rPr>
          <w:rFonts w:hint="eastAsia"/>
          <w:lang w:val="en-US" w:eastAsia="zh-CN"/>
        </w:rPr>
      </w:pPr>
    </w:p>
    <w:p>
      <w:pPr>
        <w:pStyle w:val="4"/>
        <w:bidi w:val="0"/>
        <w:jc w:val="center"/>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南通理工学院2020-202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lang w:eastAsia="zh-CN"/>
        </w:rPr>
        <w:t>学年教材投标报价单</w:t>
      </w:r>
      <w:bookmarkEnd w:id="17"/>
    </w:p>
    <w:p>
      <w:pPr>
        <w:rPr>
          <w:rFonts w:hint="eastAsia" w:ascii="宋体" w:hAnsi="宋体" w:eastAsia="宋体" w:cs="宋体"/>
          <w:sz w:val="30"/>
          <w:szCs w:val="30"/>
          <w:lang w:eastAsia="zh-CN"/>
        </w:rPr>
      </w:pPr>
    </w:p>
    <w:p>
      <w:pPr>
        <w:pStyle w:val="19"/>
        <w:keepNext w:val="0"/>
        <w:keepLines w:val="0"/>
        <w:pageBreakBefore w:val="0"/>
        <w:widowControl w:val="0"/>
        <w:kinsoku/>
        <w:wordWrap/>
        <w:overflowPunct/>
        <w:topLinePunct w:val="0"/>
        <w:autoSpaceDE/>
        <w:autoSpaceDN/>
        <w:bidi w:val="0"/>
        <w:adjustRightInd/>
        <w:snapToGrid/>
        <w:spacing w:line="960" w:lineRule="auto"/>
        <w:ind w:left="0" w:leftChars="0" w:firstLine="480" w:firstLineChars="16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投标单位名称：</w:t>
      </w:r>
    </w:p>
    <w:p>
      <w:pPr>
        <w:pStyle w:val="19"/>
        <w:keepNext w:val="0"/>
        <w:keepLines w:val="0"/>
        <w:pageBreakBefore w:val="0"/>
        <w:widowControl w:val="0"/>
        <w:kinsoku/>
        <w:wordWrap/>
        <w:overflowPunct/>
        <w:topLinePunct w:val="0"/>
        <w:autoSpaceDE/>
        <w:autoSpaceDN/>
        <w:bidi w:val="0"/>
        <w:adjustRightInd/>
        <w:snapToGrid/>
        <w:spacing w:line="960" w:lineRule="auto"/>
        <w:ind w:left="0" w:leftChars="0" w:firstLine="480" w:firstLineChars="16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法人代表：</w:t>
      </w:r>
    </w:p>
    <w:p>
      <w:pPr>
        <w:pStyle w:val="19"/>
        <w:keepNext w:val="0"/>
        <w:keepLines w:val="0"/>
        <w:pageBreakBefore w:val="0"/>
        <w:widowControl w:val="0"/>
        <w:kinsoku/>
        <w:wordWrap/>
        <w:overflowPunct/>
        <w:topLinePunct w:val="0"/>
        <w:autoSpaceDE/>
        <w:autoSpaceDN/>
        <w:bidi w:val="0"/>
        <w:adjustRightInd/>
        <w:snapToGrid/>
        <w:spacing w:line="960" w:lineRule="auto"/>
        <w:ind w:left="0" w:leftChars="0" w:firstLine="480" w:firstLineChars="16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地址：</w:t>
      </w:r>
    </w:p>
    <w:p>
      <w:pPr>
        <w:pStyle w:val="19"/>
        <w:keepNext w:val="0"/>
        <w:keepLines w:val="0"/>
        <w:pageBreakBefore w:val="0"/>
        <w:widowControl w:val="0"/>
        <w:kinsoku/>
        <w:wordWrap/>
        <w:overflowPunct/>
        <w:topLinePunct w:val="0"/>
        <w:autoSpaceDE/>
        <w:autoSpaceDN/>
        <w:bidi w:val="0"/>
        <w:adjustRightInd/>
        <w:snapToGrid/>
        <w:spacing w:line="960" w:lineRule="auto"/>
        <w:ind w:left="0" w:leftChars="0" w:firstLine="480" w:firstLineChars="16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折扣率：</w:t>
      </w:r>
    </w:p>
    <w:p>
      <w:pPr>
        <w:pStyle w:val="19"/>
        <w:keepNext w:val="0"/>
        <w:keepLines w:val="0"/>
        <w:pageBreakBefore w:val="0"/>
        <w:widowControl w:val="0"/>
        <w:kinsoku/>
        <w:wordWrap/>
        <w:overflowPunct/>
        <w:topLinePunct w:val="0"/>
        <w:autoSpaceDE/>
        <w:autoSpaceDN/>
        <w:bidi w:val="0"/>
        <w:adjustRightInd/>
        <w:snapToGrid/>
        <w:spacing w:line="960" w:lineRule="auto"/>
        <w:ind w:left="0" w:leftChars="0" w:firstLine="480" w:firstLineChars="16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(注：“两课”教材遵循苏教社政函[2006]21号文按书价供应）</w:t>
      </w:r>
    </w:p>
    <w:p>
      <w:pPr>
        <w:pStyle w:val="19"/>
        <w:keepNext w:val="0"/>
        <w:keepLines w:val="0"/>
        <w:pageBreakBefore w:val="0"/>
        <w:widowControl w:val="0"/>
        <w:kinsoku/>
        <w:wordWrap/>
        <w:overflowPunct/>
        <w:topLinePunct w:val="0"/>
        <w:autoSpaceDE/>
        <w:autoSpaceDN/>
        <w:bidi w:val="0"/>
        <w:adjustRightInd/>
        <w:snapToGrid/>
        <w:spacing w:line="960" w:lineRule="auto"/>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投标人签字：</w:t>
      </w:r>
    </w:p>
    <w:p>
      <w:pPr>
        <w:pStyle w:val="19"/>
        <w:keepNext w:val="0"/>
        <w:keepLines w:val="0"/>
        <w:pageBreakBefore w:val="0"/>
        <w:widowControl w:val="0"/>
        <w:kinsoku/>
        <w:wordWrap/>
        <w:overflowPunct/>
        <w:topLinePunct w:val="0"/>
        <w:autoSpaceDE/>
        <w:autoSpaceDN/>
        <w:bidi w:val="0"/>
        <w:adjustRightInd/>
        <w:snapToGrid/>
        <w:spacing w:line="960" w:lineRule="auto"/>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投标单位（公章）</w:t>
      </w:r>
    </w:p>
    <w:p>
      <w:pPr>
        <w:pStyle w:val="19"/>
        <w:keepNext w:val="0"/>
        <w:keepLines w:val="0"/>
        <w:pageBreakBefore w:val="0"/>
        <w:widowControl w:val="0"/>
        <w:kinsoku/>
        <w:wordWrap/>
        <w:overflowPunct/>
        <w:topLinePunct w:val="0"/>
        <w:autoSpaceDE/>
        <w:autoSpaceDN/>
        <w:bidi w:val="0"/>
        <w:adjustRightInd/>
        <w:snapToGrid/>
        <w:spacing w:line="960" w:lineRule="auto"/>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20</w:t>
      </w:r>
      <w:r>
        <w:rPr>
          <w:rFonts w:hint="eastAsia" w:ascii="宋体" w:hAnsi="宋体" w:eastAsia="宋体" w:cs="宋体"/>
          <w:sz w:val="30"/>
          <w:szCs w:val="30"/>
          <w:lang w:val="en-US" w:eastAsia="zh-CN"/>
        </w:rPr>
        <w:t>20</w:t>
      </w:r>
      <w:r>
        <w:rPr>
          <w:rFonts w:hint="eastAsia" w:ascii="宋体" w:hAnsi="宋体" w:eastAsia="宋体" w:cs="宋体"/>
          <w:sz w:val="30"/>
          <w:szCs w:val="30"/>
          <w:lang w:eastAsia="zh-CN"/>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日</w:t>
      </w:r>
    </w:p>
    <w:p>
      <w:pPr>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br w:type="page"/>
      </w:r>
    </w:p>
    <w:p>
      <w:pPr>
        <w:pStyle w:val="4"/>
        <w:bidi w:val="0"/>
        <w:jc w:val="left"/>
        <w:outlineLvl w:val="0"/>
        <w:rPr>
          <w:rFonts w:hint="eastAsia" w:ascii="微软雅黑" w:hAnsi="微软雅黑" w:cs="微软雅黑"/>
          <w:sz w:val="24"/>
          <w:szCs w:val="24"/>
          <w:lang w:val="en-US" w:eastAsia="zh-CN"/>
        </w:rPr>
      </w:pPr>
      <w:bookmarkStart w:id="18" w:name="_Toc15111"/>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 xml:space="preserve">2 </w:t>
      </w:r>
      <w:r>
        <w:rPr>
          <w:rFonts w:hint="eastAsia" w:ascii="微软雅黑" w:hAnsi="微软雅黑" w:cs="微软雅黑"/>
          <w:sz w:val="24"/>
          <w:szCs w:val="24"/>
          <w:lang w:val="en-US" w:eastAsia="zh-CN"/>
        </w:rPr>
        <w:t xml:space="preserve">     </w:t>
      </w:r>
    </w:p>
    <w:p>
      <w:pPr>
        <w:pStyle w:val="4"/>
        <w:bidi w:val="0"/>
        <w:jc w:val="center"/>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南通理工学院教材投标方承诺书</w:t>
      </w:r>
      <w:bookmarkEnd w:id="18"/>
    </w:p>
    <w:p>
      <w:pPr>
        <w:pStyle w:val="19"/>
        <w:bidi w:val="0"/>
        <w:rPr>
          <w:rFonts w:hint="eastAsia" w:ascii="宋体" w:hAnsi="宋体" w:eastAsia="宋体" w:cs="宋体"/>
          <w:sz w:val="28"/>
          <w:szCs w:val="28"/>
          <w:lang w:eastAsia="zh-CN"/>
        </w:rPr>
      </w:pPr>
    </w:p>
    <w:p>
      <w:pPr>
        <w:pStyle w:val="19"/>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投标单位名称：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投标方承诺：</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1.确保正版教材，保证不因版权、税务等法律问题受第三方起诉。</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2.中标后，乙方将无条件接收甲方所发出的任何出版社的教材供应，并保证按招标折扣统一供应。</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3.接收订单后，乙方须及时反馈信息，更换替代品种需经甲方认可；除发生不可抗拒事件外，乙方必须保证甲方规定的交货时间。</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4.乙方配送供应，须提供送货清单并按甲方要求搬运入库，配送费用全部由乙方承担。</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5.如有倒装、缺页等质量问题，乙方无条件及时更换。</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6.补订教材，乙方保证7~10天内供货。</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7.对本供应周期内产生的剩余教材，乙方保证无条件退货。</w:t>
      </w:r>
    </w:p>
    <w:p>
      <w:pPr>
        <w:pStyle w:val="19"/>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8.乙方承诺履行投标文件中所提供的各项服务内容。</w:t>
      </w:r>
    </w:p>
    <w:p>
      <w:pPr>
        <w:pStyle w:val="19"/>
        <w:bidi w:val="0"/>
        <w:spacing w:line="360" w:lineRule="auto"/>
        <w:rPr>
          <w:rFonts w:hint="eastAsia" w:ascii="宋体" w:hAnsi="宋体" w:eastAsia="宋体" w:cs="宋体"/>
          <w:sz w:val="30"/>
          <w:szCs w:val="30"/>
          <w:lang w:eastAsia="zh-CN"/>
        </w:rPr>
      </w:pPr>
    </w:p>
    <w:p>
      <w:pPr>
        <w:pStyle w:val="19"/>
        <w:bidi w:val="0"/>
        <w:spacing w:line="360" w:lineRule="auto"/>
        <w:rPr>
          <w:rFonts w:hint="eastAsia" w:ascii="宋体" w:hAnsi="宋体" w:eastAsia="宋体" w:cs="宋体"/>
          <w:sz w:val="30"/>
          <w:szCs w:val="30"/>
          <w:lang w:eastAsia="zh-CN"/>
        </w:rPr>
      </w:pPr>
      <w:r>
        <w:rPr>
          <w:rFonts w:hint="eastAsia" w:ascii="宋体" w:hAnsi="宋体" w:eastAsia="宋体" w:cs="宋体"/>
          <w:sz w:val="30"/>
          <w:szCs w:val="30"/>
          <w:lang w:eastAsia="zh-CN"/>
        </w:rPr>
        <w:t>承诺人：</w:t>
      </w:r>
    </w:p>
    <w:p>
      <w:pPr>
        <w:pStyle w:val="19"/>
        <w:bidi w:val="0"/>
        <w:spacing w:line="360" w:lineRule="auto"/>
        <w:rPr>
          <w:rFonts w:hint="eastAsia" w:ascii="宋体" w:hAnsi="宋体" w:eastAsia="宋体" w:cs="宋体"/>
          <w:sz w:val="30"/>
          <w:szCs w:val="30"/>
          <w:lang w:eastAsia="zh-CN"/>
        </w:rPr>
      </w:pPr>
      <w:r>
        <w:rPr>
          <w:rFonts w:hint="eastAsia" w:ascii="宋体" w:hAnsi="宋体" w:eastAsia="宋体" w:cs="宋体"/>
          <w:sz w:val="30"/>
          <w:szCs w:val="30"/>
          <w:lang w:eastAsia="zh-CN"/>
        </w:rPr>
        <w:t>(单位盖章）</w:t>
      </w:r>
    </w:p>
    <w:p>
      <w:pPr>
        <w:pStyle w:val="19"/>
        <w:bidi w:val="0"/>
        <w:spacing w:line="360" w:lineRule="auto"/>
        <w:rPr>
          <w:rFonts w:hint="eastAsia" w:ascii="宋体" w:hAnsi="宋体" w:eastAsia="宋体" w:cs="宋体"/>
          <w:sz w:val="30"/>
          <w:szCs w:val="30"/>
          <w:lang w:eastAsia="zh-CN"/>
        </w:rPr>
      </w:pPr>
      <w:r>
        <w:rPr>
          <w:rFonts w:hint="eastAsia" w:ascii="宋体" w:hAnsi="宋体" w:eastAsia="宋体" w:cs="宋体"/>
          <w:sz w:val="30"/>
          <w:szCs w:val="30"/>
          <w:lang w:eastAsia="zh-CN"/>
        </w:rPr>
        <w:t>20</w:t>
      </w:r>
      <w:r>
        <w:rPr>
          <w:rFonts w:hint="eastAsia" w:ascii="宋体" w:hAnsi="宋体" w:eastAsia="宋体" w:cs="宋体"/>
          <w:sz w:val="30"/>
          <w:szCs w:val="30"/>
          <w:lang w:val="en-US" w:eastAsia="zh-CN"/>
        </w:rPr>
        <w:t>20</w:t>
      </w:r>
      <w:r>
        <w:rPr>
          <w:rFonts w:hint="eastAsia" w:ascii="宋体" w:hAnsi="宋体" w:eastAsia="宋体" w:cs="宋体"/>
          <w:sz w:val="30"/>
          <w:szCs w:val="30"/>
          <w:lang w:eastAsia="zh-CN"/>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日</w:t>
      </w:r>
    </w:p>
    <w:p>
      <w:pPr>
        <w:pStyle w:val="19"/>
        <w:bidi w:val="0"/>
        <w:rPr>
          <w:rFonts w:hint="eastAsia"/>
          <w:lang w:eastAsia="zh-CN"/>
        </w:rPr>
      </w:pPr>
      <w:r>
        <w:rPr>
          <w:rFonts w:hint="eastAsia"/>
          <w:lang w:eastAsia="zh-CN"/>
        </w:rPr>
        <w:br w:type="page"/>
      </w:r>
    </w:p>
    <w:p>
      <w:pPr>
        <w:pStyle w:val="4"/>
        <w:bidi w:val="0"/>
        <w:outlineLvl w:val="0"/>
        <w:rPr>
          <w:rFonts w:hint="eastAsia" w:ascii="微软雅黑" w:hAnsi="微软雅黑" w:cs="微软雅黑"/>
          <w:sz w:val="24"/>
          <w:szCs w:val="24"/>
          <w:lang w:val="en-US" w:eastAsia="zh-CN"/>
        </w:rPr>
      </w:pPr>
      <w:bookmarkStart w:id="19" w:name="_Toc2671"/>
      <w:bookmarkStart w:id="20" w:name="_Toc3368"/>
      <w:r>
        <w:rPr>
          <w:rFonts w:hint="eastAsia" w:ascii="黑体" w:hAnsi="黑体" w:eastAsia="黑体" w:cs="黑体"/>
          <w:b w:val="0"/>
          <w:bCs w:val="0"/>
          <w:sz w:val="32"/>
          <w:szCs w:val="32"/>
          <w:lang w:eastAsia="zh-CN"/>
        </w:rPr>
        <w:t>附件3</w:t>
      </w:r>
      <w:bookmarkEnd w:id="19"/>
      <w:r>
        <w:rPr>
          <w:rFonts w:hint="eastAsia" w:ascii="微软雅黑" w:hAnsi="微软雅黑" w:cs="微软雅黑"/>
          <w:sz w:val="24"/>
          <w:szCs w:val="24"/>
          <w:lang w:val="en-US" w:eastAsia="zh-CN"/>
        </w:rPr>
        <w:t xml:space="preserve">         </w:t>
      </w:r>
    </w:p>
    <w:p>
      <w:pPr>
        <w:pStyle w:val="4"/>
        <w:bidi w:val="0"/>
        <w:jc w:val="center"/>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教材购销协议</w:t>
      </w:r>
      <w:bookmarkEnd w:id="20"/>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甲方：南通理工学院</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乙方：</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为增强甲乙双方责任感，共同做好教材供应工作，经甲乙双方充分协商，特订立本合同，以便共同遵守。</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1、乙方向甲方供应的各种版本的教材，必须保证全部为国家正式出版物，若查实发生盗版教材，乙方承担一切责任，并支付甲方该教材总码洋10倍的罚金。</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2、本供应周期为2020-202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学年，为期两年。</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3、乙方在收到甲方订单后一周内，应把教材的落实情况反馈甲方，并在甲方规定的时间内把教材送到指定的地点，确保课前到书。</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4、乙方无条件接收甲方所提供的任何出版社的教材订单，并按中标折扣执行结算，中标折扣</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。（注：“两课”教材遵循苏教社政函【2006】21号文按书价供应）</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5、乙方提供的教材如有倒装、缺页、印刷等质量问题，保证无条件及时更换，并对本供应周期产生的剩余教材无条件退货。</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乙方中标后，须缴纳2万元人民币履约保证金，以保证本协议的顺利执行。如不能提前告知不能如期交货，将视为重大违规行为，已缴纳的履约保证金将不予退还。该投标单位今后将不得再参与南通理工学院的教材供应招标。</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7、若以上任何一项乙方不能履行其承诺，甲方有权随时终止其供应资格。</w:t>
      </w:r>
    </w:p>
    <w:p>
      <w:pPr>
        <w:pStyle w:val="19"/>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8、本合同一式四份，甲方三份，乙方一份。自双方签字、盖章之日起生效。若执行本协议发生争议，双方友好协商解决，协商不能解决的，向合同签订地人民法院起诉解决。</w:t>
      </w:r>
    </w:p>
    <w:p>
      <w:pPr>
        <w:pStyle w:val="19"/>
        <w:bidi w:val="0"/>
        <w:spacing w:line="360" w:lineRule="auto"/>
        <w:rPr>
          <w:rFonts w:hint="eastAsia" w:ascii="宋体" w:hAnsi="宋体" w:eastAsia="宋体" w:cs="宋体"/>
          <w:sz w:val="24"/>
          <w:szCs w:val="24"/>
          <w:lang w:eastAsia="zh-CN"/>
        </w:rPr>
      </w:pP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甲方：南通理工学院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法定代表人（或委托人）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法定代表人（或委托人）</w:t>
      </w:r>
    </w:p>
    <w:p>
      <w:pPr>
        <w:pStyle w:val="19"/>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pPr>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br w:type="page"/>
      </w:r>
    </w:p>
    <w:p>
      <w:pPr>
        <w:pStyle w:val="4"/>
        <w:bidi w:val="0"/>
        <w:outlineLvl w:val="0"/>
        <w:rPr>
          <w:rFonts w:hint="eastAsia" w:ascii="微软雅黑" w:hAnsi="微软雅黑" w:cs="微软雅黑"/>
          <w:sz w:val="24"/>
          <w:szCs w:val="24"/>
          <w:lang w:val="en-US" w:eastAsia="zh-CN"/>
        </w:rPr>
      </w:pPr>
      <w:bookmarkStart w:id="21" w:name="_Toc4743"/>
      <w:bookmarkStart w:id="22" w:name="_Toc2054"/>
      <w:r>
        <w:rPr>
          <w:rFonts w:hint="eastAsia" w:ascii="黑体" w:hAnsi="黑体" w:eastAsia="黑体" w:cs="黑体"/>
          <w:b w:val="0"/>
          <w:bCs w:val="0"/>
          <w:sz w:val="32"/>
          <w:szCs w:val="32"/>
          <w:lang w:eastAsia="zh-CN"/>
        </w:rPr>
        <w:t>附件4:</w:t>
      </w:r>
      <w:bookmarkEnd w:id="21"/>
      <w:r>
        <w:rPr>
          <w:rFonts w:hint="eastAsia" w:ascii="黑体" w:hAnsi="黑体" w:eastAsia="黑体" w:cs="黑体"/>
          <w:b w:val="0"/>
          <w:bCs w:val="0"/>
          <w:sz w:val="32"/>
          <w:szCs w:val="32"/>
          <w:lang w:val="en-US" w:eastAsia="zh-CN"/>
        </w:rPr>
        <w:t xml:space="preserve"> </w:t>
      </w:r>
      <w:r>
        <w:rPr>
          <w:rFonts w:hint="eastAsia" w:ascii="微软雅黑" w:hAnsi="微软雅黑" w:cs="微软雅黑"/>
          <w:sz w:val="24"/>
          <w:szCs w:val="24"/>
          <w:lang w:val="en-US" w:eastAsia="zh-CN"/>
        </w:rPr>
        <w:t xml:space="preserve">     </w:t>
      </w:r>
    </w:p>
    <w:p>
      <w:pPr>
        <w:pStyle w:val="4"/>
        <w:bidi w:val="0"/>
        <w:jc w:val="center"/>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南通理工学院教材招标综合评分表</w:t>
      </w:r>
      <w:bookmarkEnd w:id="22"/>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710"/>
        <w:gridCol w:w="2651"/>
        <w:gridCol w:w="2404"/>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20"/>
              <w:bidi w:val="0"/>
              <w:jc w:val="center"/>
              <w:rPr>
                <w:rFonts w:hint="eastAsia"/>
                <w:lang w:eastAsia="zh-CN"/>
              </w:rPr>
            </w:pPr>
            <w:r>
              <w:rPr>
                <w:rFonts w:hint="eastAsia"/>
                <w:lang w:eastAsia="zh-CN"/>
              </w:rPr>
              <w:t>序号</w:t>
            </w:r>
          </w:p>
        </w:tc>
        <w:tc>
          <w:tcPr>
            <w:tcW w:w="1710" w:type="dxa"/>
            <w:vAlign w:val="center"/>
          </w:tcPr>
          <w:p>
            <w:pPr>
              <w:pStyle w:val="20"/>
              <w:bidi w:val="0"/>
              <w:jc w:val="center"/>
              <w:rPr>
                <w:rFonts w:hint="eastAsia"/>
                <w:lang w:eastAsia="zh-CN"/>
              </w:rPr>
            </w:pPr>
            <w:r>
              <w:rPr>
                <w:rFonts w:hint="eastAsia"/>
                <w:lang w:eastAsia="zh-CN"/>
              </w:rPr>
              <w:t>项</w:t>
            </w:r>
            <w:r>
              <w:rPr>
                <w:rFonts w:hint="eastAsia"/>
                <w:lang w:val="en-US" w:eastAsia="zh-CN"/>
              </w:rPr>
              <w:t xml:space="preserve">  </w:t>
            </w:r>
            <w:r>
              <w:rPr>
                <w:rFonts w:hint="eastAsia"/>
                <w:lang w:eastAsia="zh-CN"/>
              </w:rPr>
              <w:t>目</w:t>
            </w:r>
          </w:p>
        </w:tc>
        <w:tc>
          <w:tcPr>
            <w:tcW w:w="2651" w:type="dxa"/>
            <w:vAlign w:val="center"/>
          </w:tcPr>
          <w:p>
            <w:pPr>
              <w:pStyle w:val="20"/>
              <w:bidi w:val="0"/>
              <w:jc w:val="center"/>
              <w:rPr>
                <w:rFonts w:hint="eastAsia"/>
                <w:lang w:eastAsia="zh-CN"/>
              </w:rPr>
            </w:pPr>
            <w:r>
              <w:rPr>
                <w:rFonts w:hint="eastAsia"/>
                <w:lang w:eastAsia="zh-CN"/>
              </w:rPr>
              <w:t>指标说明</w:t>
            </w:r>
          </w:p>
        </w:tc>
        <w:tc>
          <w:tcPr>
            <w:tcW w:w="2404" w:type="dxa"/>
            <w:vAlign w:val="center"/>
          </w:tcPr>
          <w:p>
            <w:pPr>
              <w:pStyle w:val="20"/>
              <w:bidi w:val="0"/>
              <w:jc w:val="center"/>
              <w:rPr>
                <w:rFonts w:hint="eastAsia"/>
                <w:lang w:eastAsia="zh-CN"/>
              </w:rPr>
            </w:pPr>
            <w:r>
              <w:rPr>
                <w:rFonts w:hint="eastAsia"/>
                <w:lang w:eastAsia="zh-CN"/>
              </w:rPr>
              <w:t>评分细则</w:t>
            </w:r>
          </w:p>
        </w:tc>
        <w:tc>
          <w:tcPr>
            <w:tcW w:w="1006" w:type="dxa"/>
            <w:vAlign w:val="center"/>
          </w:tcPr>
          <w:p>
            <w:pPr>
              <w:pStyle w:val="20"/>
              <w:bidi w:val="0"/>
              <w:jc w:val="center"/>
              <w:rPr>
                <w:rFonts w:hint="eastAsia"/>
                <w:lang w:eastAsia="zh-CN"/>
              </w:rPr>
            </w:pPr>
            <w:r>
              <w:rPr>
                <w:rFonts w:hint="eastAsia"/>
                <w:lang w:eastAsia="zh-CN"/>
              </w:rPr>
              <w:t>得</w:t>
            </w:r>
            <w:r>
              <w:rPr>
                <w:rFonts w:hint="eastAsia"/>
                <w:lang w:val="en-US" w:eastAsia="zh-CN"/>
              </w:rPr>
              <w:t xml:space="preserve"> </w:t>
            </w:r>
            <w:r>
              <w:rPr>
                <w:rFonts w:hint="eastAsia"/>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51" w:type="dxa"/>
            <w:vMerge w:val="restart"/>
            <w:vAlign w:val="center"/>
          </w:tcPr>
          <w:p>
            <w:pPr>
              <w:pStyle w:val="20"/>
              <w:bidi w:val="0"/>
              <w:rPr>
                <w:rFonts w:hint="default"/>
                <w:lang w:val="en-US" w:eastAsia="zh-CN"/>
              </w:rPr>
            </w:pPr>
            <w:r>
              <w:rPr>
                <w:rFonts w:hint="eastAsia"/>
                <w:lang w:val="en-US" w:eastAsia="zh-CN"/>
              </w:rPr>
              <w:t>1</w:t>
            </w:r>
          </w:p>
        </w:tc>
        <w:tc>
          <w:tcPr>
            <w:tcW w:w="1710" w:type="dxa"/>
            <w:vMerge w:val="restart"/>
            <w:vAlign w:val="center"/>
          </w:tcPr>
          <w:p>
            <w:pPr>
              <w:pStyle w:val="20"/>
              <w:bidi w:val="0"/>
              <w:rPr>
                <w:rFonts w:hint="eastAsia"/>
                <w:lang w:eastAsia="zh-CN"/>
              </w:rPr>
            </w:pPr>
            <w:r>
              <w:rPr>
                <w:rFonts w:hint="eastAsia"/>
                <w:lang w:eastAsia="zh-CN"/>
              </w:rPr>
              <w:t>综合实力</w:t>
            </w:r>
            <w:r>
              <w:rPr>
                <w:rFonts w:hint="eastAsia"/>
                <w:lang w:eastAsia="zh-CN"/>
              </w:rPr>
              <w:br w:type="textWrapping"/>
            </w:r>
            <w:r>
              <w:rPr>
                <w:rFonts w:hint="eastAsia"/>
                <w:lang w:eastAsia="zh-CN"/>
              </w:rPr>
              <w:t>（</w:t>
            </w:r>
            <w:r>
              <w:rPr>
                <w:rFonts w:hint="eastAsia"/>
                <w:lang w:val="en-US" w:eastAsia="zh-CN"/>
              </w:rPr>
              <w:t>10分</w:t>
            </w:r>
            <w:r>
              <w:rPr>
                <w:rFonts w:hint="eastAsia"/>
                <w:lang w:eastAsia="zh-CN"/>
              </w:rPr>
              <w:t>）</w:t>
            </w:r>
          </w:p>
        </w:tc>
        <w:tc>
          <w:tcPr>
            <w:tcW w:w="2651" w:type="dxa"/>
            <w:vAlign w:val="center"/>
          </w:tcPr>
          <w:p>
            <w:pPr>
              <w:pStyle w:val="21"/>
              <w:numPr>
                <w:ilvl w:val="0"/>
                <w:numId w:val="0"/>
              </w:numPr>
              <w:bidi w:val="0"/>
              <w:ind w:leftChars="0"/>
              <w:jc w:val="left"/>
              <w:rPr>
                <w:rFonts w:hint="default"/>
                <w:lang w:val="en-US" w:eastAsia="zh-CN"/>
              </w:rPr>
            </w:pPr>
            <w:r>
              <w:rPr>
                <w:rFonts w:hint="eastAsia"/>
                <w:lang w:val="en-US" w:eastAsia="zh-CN"/>
              </w:rPr>
              <w:t>1、企业法人营业执照、组织机构代码</w:t>
            </w:r>
          </w:p>
        </w:tc>
        <w:tc>
          <w:tcPr>
            <w:tcW w:w="2404" w:type="dxa"/>
            <w:vMerge w:val="restart"/>
            <w:vAlign w:val="center"/>
          </w:tcPr>
          <w:p>
            <w:pPr>
              <w:pStyle w:val="21"/>
              <w:bidi w:val="0"/>
              <w:jc w:val="left"/>
              <w:rPr>
                <w:rFonts w:hint="default"/>
                <w:lang w:val="en-US" w:eastAsia="zh-CN"/>
              </w:rPr>
            </w:pPr>
            <w:r>
              <w:rPr>
                <w:rFonts w:hint="eastAsia"/>
                <w:lang w:eastAsia="zh-CN"/>
              </w:rPr>
              <w:t>资格审查项，根据有效证件复印件进行。</w:t>
            </w:r>
            <w:r>
              <w:rPr>
                <w:rFonts w:hint="eastAsia"/>
                <w:lang w:eastAsia="zh-CN"/>
              </w:rPr>
              <w:br w:type="textWrapping"/>
            </w:r>
            <w:r>
              <w:rPr>
                <w:rFonts w:hint="eastAsia"/>
                <w:lang w:eastAsia="zh-CN"/>
              </w:rPr>
              <w:t>若缺项则取消投标资格。</w:t>
            </w:r>
            <w:r>
              <w:rPr>
                <w:rFonts w:hint="eastAsia"/>
                <w:lang w:eastAsia="zh-CN"/>
              </w:rPr>
              <w:br w:type="textWrapping"/>
            </w:r>
            <w:r>
              <w:rPr>
                <w:rFonts w:hint="eastAsia"/>
                <w:lang w:eastAsia="zh-CN"/>
              </w:rPr>
              <w:t>条件符合给予</w:t>
            </w:r>
            <w:r>
              <w:rPr>
                <w:rFonts w:hint="eastAsia"/>
                <w:lang w:val="en-US" w:eastAsia="zh-CN"/>
              </w:rPr>
              <w:t>5分</w:t>
            </w:r>
          </w:p>
        </w:tc>
        <w:tc>
          <w:tcPr>
            <w:tcW w:w="1006" w:type="dxa"/>
            <w:vMerge w:val="restart"/>
            <w:vAlign w:val="center"/>
          </w:tcPr>
          <w:p>
            <w:pPr>
              <w:pStyle w:val="20"/>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51" w:type="dxa"/>
            <w:vMerge w:val="continue"/>
            <w:vAlign w:val="center"/>
          </w:tcPr>
          <w:p>
            <w:pPr>
              <w:pStyle w:val="21"/>
              <w:bidi w:val="0"/>
              <w:ind w:leftChars="0"/>
            </w:pPr>
          </w:p>
        </w:tc>
        <w:tc>
          <w:tcPr>
            <w:tcW w:w="1710" w:type="dxa"/>
            <w:vMerge w:val="continue"/>
            <w:vAlign w:val="center"/>
          </w:tcPr>
          <w:p>
            <w:pPr>
              <w:pStyle w:val="21"/>
              <w:bidi w:val="0"/>
              <w:ind w:leftChars="0"/>
            </w:pPr>
          </w:p>
        </w:tc>
        <w:tc>
          <w:tcPr>
            <w:tcW w:w="2651" w:type="dxa"/>
            <w:vAlign w:val="center"/>
          </w:tcPr>
          <w:p>
            <w:pPr>
              <w:pStyle w:val="21"/>
              <w:numPr>
                <w:ilvl w:val="0"/>
                <w:numId w:val="0"/>
              </w:numPr>
              <w:bidi w:val="0"/>
              <w:ind w:leftChars="0"/>
              <w:jc w:val="left"/>
              <w:rPr>
                <w:rFonts w:hint="eastAsia"/>
                <w:lang w:val="en-US" w:eastAsia="zh-CN"/>
              </w:rPr>
            </w:pPr>
            <w:r>
              <w:rPr>
                <w:rFonts w:hint="eastAsia"/>
                <w:lang w:val="en-US" w:eastAsia="zh-CN"/>
              </w:rPr>
              <w:t>2、具有《中华人民共和国出版物经营许可证》</w:t>
            </w:r>
          </w:p>
        </w:tc>
        <w:tc>
          <w:tcPr>
            <w:tcW w:w="2404" w:type="dxa"/>
            <w:vMerge w:val="continue"/>
            <w:vAlign w:val="center"/>
          </w:tcPr>
          <w:p>
            <w:pPr>
              <w:pStyle w:val="21"/>
              <w:bidi w:val="0"/>
              <w:ind w:leftChars="0"/>
              <w:jc w:val="left"/>
              <w:rPr>
                <w:rFonts w:hint="eastAsia"/>
                <w:lang w:val="en-US" w:eastAsia="zh-CN"/>
              </w:rPr>
            </w:pPr>
          </w:p>
        </w:tc>
        <w:tc>
          <w:tcPr>
            <w:tcW w:w="1006" w:type="dxa"/>
            <w:vMerge w:val="continue"/>
            <w:vAlign w:val="center"/>
          </w:tcPr>
          <w:p>
            <w:pPr>
              <w:pStyle w:val="21"/>
              <w:bidi w:val="0"/>
              <w:ind w:left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1" w:type="dxa"/>
            <w:vMerge w:val="continue"/>
            <w:vAlign w:val="center"/>
          </w:tcPr>
          <w:p>
            <w:pPr>
              <w:pStyle w:val="21"/>
              <w:bidi w:val="0"/>
              <w:ind w:leftChars="0"/>
              <w:rPr>
                <w:rFonts w:hint="eastAsia"/>
                <w:lang w:val="en-US" w:eastAsia="zh-CN"/>
              </w:rPr>
            </w:pPr>
          </w:p>
        </w:tc>
        <w:tc>
          <w:tcPr>
            <w:tcW w:w="1710" w:type="dxa"/>
            <w:vMerge w:val="continue"/>
            <w:vAlign w:val="center"/>
          </w:tcPr>
          <w:p>
            <w:pPr>
              <w:pStyle w:val="21"/>
              <w:bidi w:val="0"/>
              <w:ind w:leftChars="0"/>
              <w:rPr>
                <w:rFonts w:hint="eastAsia"/>
                <w:lang w:val="en-US" w:eastAsia="zh-CN"/>
              </w:rPr>
            </w:pPr>
          </w:p>
        </w:tc>
        <w:tc>
          <w:tcPr>
            <w:tcW w:w="2651" w:type="dxa"/>
            <w:vAlign w:val="center"/>
          </w:tcPr>
          <w:p>
            <w:pPr>
              <w:pStyle w:val="21"/>
              <w:numPr>
                <w:ilvl w:val="0"/>
                <w:numId w:val="0"/>
              </w:numPr>
              <w:bidi w:val="0"/>
              <w:ind w:leftChars="0"/>
              <w:jc w:val="left"/>
              <w:rPr>
                <w:rFonts w:hint="default"/>
                <w:lang w:val="en-US" w:eastAsia="zh-CN"/>
              </w:rPr>
            </w:pPr>
            <w:r>
              <w:rPr>
                <w:rFonts w:hint="eastAsia"/>
                <w:lang w:val="en-US" w:eastAsia="zh-CN"/>
              </w:rPr>
              <w:t>3、有完善的会计管理制度</w:t>
            </w:r>
          </w:p>
        </w:tc>
        <w:tc>
          <w:tcPr>
            <w:tcW w:w="2404" w:type="dxa"/>
            <w:vMerge w:val="continue"/>
            <w:vAlign w:val="center"/>
          </w:tcPr>
          <w:p>
            <w:pPr>
              <w:pStyle w:val="21"/>
              <w:bidi w:val="0"/>
              <w:ind w:leftChars="0"/>
              <w:jc w:val="left"/>
              <w:rPr>
                <w:rFonts w:hint="default"/>
                <w:lang w:val="en-US" w:eastAsia="zh-CN"/>
              </w:rPr>
            </w:pPr>
          </w:p>
        </w:tc>
        <w:tc>
          <w:tcPr>
            <w:tcW w:w="1006" w:type="dxa"/>
            <w:vMerge w:val="continue"/>
            <w:vAlign w:val="center"/>
          </w:tcPr>
          <w:p>
            <w:pPr>
              <w:pStyle w:val="21"/>
              <w:bidi w:val="0"/>
              <w:ind w:left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1" w:type="dxa"/>
            <w:vMerge w:val="continue"/>
            <w:vAlign w:val="center"/>
          </w:tcPr>
          <w:p>
            <w:pPr>
              <w:pStyle w:val="21"/>
              <w:bidi w:val="0"/>
              <w:ind w:leftChars="0"/>
            </w:pPr>
          </w:p>
        </w:tc>
        <w:tc>
          <w:tcPr>
            <w:tcW w:w="1710" w:type="dxa"/>
            <w:vMerge w:val="continue"/>
            <w:vAlign w:val="center"/>
          </w:tcPr>
          <w:p>
            <w:pPr>
              <w:pStyle w:val="21"/>
              <w:bidi w:val="0"/>
              <w:ind w:leftChars="0"/>
            </w:pPr>
          </w:p>
        </w:tc>
        <w:tc>
          <w:tcPr>
            <w:tcW w:w="2651" w:type="dxa"/>
            <w:vAlign w:val="center"/>
          </w:tcPr>
          <w:p>
            <w:pPr>
              <w:pStyle w:val="21"/>
              <w:numPr>
                <w:ilvl w:val="0"/>
                <w:numId w:val="0"/>
              </w:numPr>
              <w:bidi w:val="0"/>
              <w:ind w:leftChars="0"/>
              <w:jc w:val="left"/>
              <w:rPr>
                <w:rFonts w:hint="default"/>
                <w:lang w:val="en-US" w:eastAsia="zh-CN"/>
              </w:rPr>
            </w:pPr>
            <w:r>
              <w:rPr>
                <w:rFonts w:hint="eastAsia"/>
                <w:lang w:val="en-US" w:eastAsia="zh-CN"/>
              </w:rPr>
              <w:t>4、不少于50家合作出版社证明且必须拥有2019年高等教育出版社授权。（以有效期内的原始合同或授权证明为准）。</w:t>
            </w:r>
            <w:bookmarkStart w:id="23" w:name="_GoBack"/>
            <w:bookmarkEnd w:id="23"/>
          </w:p>
        </w:tc>
        <w:tc>
          <w:tcPr>
            <w:tcW w:w="2404" w:type="dxa"/>
            <w:vAlign w:val="center"/>
          </w:tcPr>
          <w:p>
            <w:pPr>
              <w:pStyle w:val="21"/>
              <w:bidi w:val="0"/>
              <w:ind w:leftChars="0"/>
              <w:jc w:val="left"/>
              <w:rPr>
                <w:rFonts w:hint="eastAsia"/>
                <w:lang w:val="en-US" w:eastAsia="zh-CN"/>
              </w:rPr>
            </w:pPr>
            <w:r>
              <w:rPr>
                <w:rFonts w:hint="eastAsia"/>
                <w:lang w:val="en-US" w:eastAsia="zh-CN"/>
              </w:rPr>
              <w:t>出版社证明每提供一家给予0.1分，满分5分</w:t>
            </w:r>
          </w:p>
        </w:tc>
        <w:tc>
          <w:tcPr>
            <w:tcW w:w="1006" w:type="dxa"/>
            <w:vMerge w:val="continue"/>
            <w:vAlign w:val="center"/>
          </w:tcPr>
          <w:p>
            <w:pPr>
              <w:pStyle w:val="21"/>
              <w:bidi w:val="0"/>
              <w:ind w:left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20"/>
              <w:bidi w:val="0"/>
              <w:rPr>
                <w:rFonts w:hint="default"/>
                <w:lang w:val="en-US" w:eastAsia="zh-CN"/>
              </w:rPr>
            </w:pPr>
            <w:r>
              <w:rPr>
                <w:rFonts w:hint="eastAsia"/>
                <w:lang w:val="en-US" w:eastAsia="zh-CN"/>
              </w:rPr>
              <w:t>2</w:t>
            </w:r>
          </w:p>
        </w:tc>
        <w:tc>
          <w:tcPr>
            <w:tcW w:w="1710" w:type="dxa"/>
            <w:vAlign w:val="center"/>
          </w:tcPr>
          <w:p>
            <w:pPr>
              <w:pStyle w:val="20"/>
              <w:bidi w:val="0"/>
              <w:rPr>
                <w:rFonts w:hint="eastAsia"/>
                <w:lang w:eastAsia="zh-CN"/>
              </w:rPr>
            </w:pPr>
            <w:r>
              <w:rPr>
                <w:rFonts w:hint="eastAsia"/>
                <w:lang w:eastAsia="zh-CN"/>
              </w:rPr>
              <w:t>投标报价（</w:t>
            </w:r>
            <w:r>
              <w:rPr>
                <w:rFonts w:hint="eastAsia"/>
                <w:lang w:val="en-US" w:eastAsia="zh-CN"/>
              </w:rPr>
              <w:t>50分</w:t>
            </w:r>
            <w:r>
              <w:rPr>
                <w:rFonts w:hint="eastAsia"/>
                <w:lang w:eastAsia="zh-CN"/>
              </w:rPr>
              <w:t>）</w:t>
            </w:r>
          </w:p>
        </w:tc>
        <w:tc>
          <w:tcPr>
            <w:tcW w:w="2651" w:type="dxa"/>
            <w:vAlign w:val="center"/>
          </w:tcPr>
          <w:p>
            <w:pPr>
              <w:pStyle w:val="21"/>
              <w:bidi w:val="0"/>
              <w:jc w:val="left"/>
              <w:rPr>
                <w:rFonts w:hint="default"/>
                <w:lang w:val="en-US" w:eastAsia="zh-CN"/>
              </w:rPr>
            </w:pPr>
            <w:r>
              <w:rPr>
                <w:rFonts w:hint="eastAsia"/>
                <w:lang w:val="en-US" w:eastAsia="zh-CN"/>
              </w:rPr>
              <w:t>含付款方式</w:t>
            </w:r>
          </w:p>
        </w:tc>
        <w:tc>
          <w:tcPr>
            <w:tcW w:w="2404" w:type="dxa"/>
            <w:vAlign w:val="center"/>
          </w:tcPr>
          <w:p>
            <w:pPr>
              <w:pStyle w:val="21"/>
              <w:bidi w:val="0"/>
              <w:jc w:val="left"/>
              <w:rPr>
                <w:rFonts w:hint="eastAsia"/>
                <w:lang w:eastAsia="zh-CN"/>
              </w:rPr>
            </w:pPr>
          </w:p>
        </w:tc>
        <w:tc>
          <w:tcPr>
            <w:tcW w:w="1006" w:type="dxa"/>
            <w:vAlign w:val="center"/>
          </w:tcPr>
          <w:p>
            <w:pPr>
              <w:pStyle w:val="20"/>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20"/>
              <w:bidi w:val="0"/>
              <w:rPr>
                <w:rFonts w:hint="default"/>
                <w:lang w:val="en-US" w:eastAsia="zh-CN"/>
              </w:rPr>
            </w:pPr>
            <w:r>
              <w:rPr>
                <w:rFonts w:hint="eastAsia"/>
                <w:lang w:val="en-US" w:eastAsia="zh-CN"/>
              </w:rPr>
              <w:t>3</w:t>
            </w:r>
          </w:p>
        </w:tc>
        <w:tc>
          <w:tcPr>
            <w:tcW w:w="1710" w:type="dxa"/>
            <w:vAlign w:val="center"/>
          </w:tcPr>
          <w:p>
            <w:pPr>
              <w:pStyle w:val="20"/>
              <w:bidi w:val="0"/>
              <w:rPr>
                <w:rFonts w:hint="eastAsia"/>
                <w:lang w:eastAsia="zh-CN"/>
              </w:rPr>
            </w:pPr>
            <w:r>
              <w:rPr>
                <w:rFonts w:hint="eastAsia"/>
                <w:lang w:eastAsia="zh-CN"/>
              </w:rPr>
              <w:t>单位业绩</w:t>
            </w:r>
            <w:r>
              <w:rPr>
                <w:rFonts w:hint="eastAsia"/>
                <w:lang w:eastAsia="zh-CN"/>
              </w:rPr>
              <w:br w:type="textWrapping"/>
            </w:r>
            <w:r>
              <w:rPr>
                <w:rFonts w:hint="eastAsia"/>
                <w:lang w:eastAsia="zh-CN"/>
              </w:rPr>
              <w:t>（</w:t>
            </w:r>
            <w:r>
              <w:rPr>
                <w:rFonts w:hint="eastAsia"/>
                <w:lang w:val="en-US" w:eastAsia="zh-CN"/>
              </w:rPr>
              <w:t>20分</w:t>
            </w:r>
            <w:r>
              <w:rPr>
                <w:rFonts w:hint="eastAsia"/>
                <w:lang w:eastAsia="zh-CN"/>
              </w:rPr>
              <w:t>）</w:t>
            </w:r>
          </w:p>
        </w:tc>
        <w:tc>
          <w:tcPr>
            <w:tcW w:w="2651" w:type="dxa"/>
            <w:vAlign w:val="center"/>
          </w:tcPr>
          <w:p>
            <w:pPr>
              <w:pStyle w:val="21"/>
              <w:bidi w:val="0"/>
              <w:jc w:val="left"/>
              <w:rPr>
                <w:rFonts w:hint="default"/>
                <w:lang w:val="en-US" w:eastAsia="zh-CN"/>
              </w:rPr>
            </w:pPr>
            <w:r>
              <w:rPr>
                <w:rFonts w:hint="eastAsia"/>
                <w:lang w:val="en-US" w:eastAsia="zh-CN"/>
              </w:rPr>
              <w:t>1、提供近二年（2018-2019）教材供应合作江苏省公办本科高校数量及服务质量证明。（以原始合同及证明为准）</w:t>
            </w:r>
          </w:p>
        </w:tc>
        <w:tc>
          <w:tcPr>
            <w:tcW w:w="2404" w:type="dxa"/>
            <w:vAlign w:val="center"/>
          </w:tcPr>
          <w:p>
            <w:pPr>
              <w:pStyle w:val="21"/>
              <w:bidi w:val="0"/>
              <w:jc w:val="left"/>
              <w:rPr>
                <w:rFonts w:hint="default"/>
                <w:lang w:val="en-US" w:eastAsia="zh-CN"/>
              </w:rPr>
            </w:pPr>
            <w:r>
              <w:rPr>
                <w:rFonts w:hint="eastAsia"/>
                <w:lang w:eastAsia="zh-CN"/>
              </w:rPr>
              <w:t>提供一家给予</w:t>
            </w:r>
            <w:r>
              <w:rPr>
                <w:rFonts w:hint="eastAsia"/>
                <w:lang w:val="en-US" w:eastAsia="zh-CN"/>
              </w:rPr>
              <w:t>1分，满分20分</w:t>
            </w:r>
          </w:p>
        </w:tc>
        <w:tc>
          <w:tcPr>
            <w:tcW w:w="1006" w:type="dxa"/>
            <w:vAlign w:val="center"/>
          </w:tcPr>
          <w:p>
            <w:pPr>
              <w:pStyle w:val="20"/>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51" w:type="dxa"/>
            <w:vMerge w:val="restart"/>
            <w:vAlign w:val="center"/>
          </w:tcPr>
          <w:p>
            <w:pPr>
              <w:pStyle w:val="20"/>
              <w:bidi w:val="0"/>
              <w:rPr>
                <w:rFonts w:hint="default"/>
                <w:lang w:val="en-US" w:eastAsia="zh-CN"/>
              </w:rPr>
            </w:pPr>
            <w:r>
              <w:rPr>
                <w:rFonts w:hint="eastAsia"/>
                <w:lang w:val="en-US" w:eastAsia="zh-CN"/>
              </w:rPr>
              <w:t>4</w:t>
            </w:r>
          </w:p>
        </w:tc>
        <w:tc>
          <w:tcPr>
            <w:tcW w:w="1710" w:type="dxa"/>
            <w:vMerge w:val="restart"/>
            <w:vAlign w:val="center"/>
          </w:tcPr>
          <w:p>
            <w:pPr>
              <w:pStyle w:val="20"/>
              <w:bidi w:val="0"/>
              <w:rPr>
                <w:rFonts w:hint="eastAsia"/>
                <w:lang w:eastAsia="zh-CN"/>
              </w:rPr>
            </w:pPr>
            <w:r>
              <w:rPr>
                <w:rFonts w:hint="eastAsia"/>
                <w:lang w:eastAsia="zh-CN"/>
              </w:rPr>
              <w:t>售后及服务</w:t>
            </w:r>
            <w:r>
              <w:rPr>
                <w:rFonts w:hint="eastAsia"/>
                <w:lang w:eastAsia="zh-CN"/>
              </w:rPr>
              <w:br w:type="textWrapping"/>
            </w:r>
            <w:r>
              <w:rPr>
                <w:rFonts w:hint="eastAsia"/>
                <w:lang w:eastAsia="zh-CN"/>
              </w:rPr>
              <w:t>（</w:t>
            </w:r>
            <w:r>
              <w:rPr>
                <w:rFonts w:hint="eastAsia"/>
                <w:lang w:val="en-US" w:eastAsia="zh-CN"/>
              </w:rPr>
              <w:t>20分</w:t>
            </w:r>
            <w:r>
              <w:rPr>
                <w:rFonts w:hint="eastAsia"/>
                <w:lang w:eastAsia="zh-CN"/>
              </w:rPr>
              <w:t>）</w:t>
            </w:r>
          </w:p>
        </w:tc>
        <w:tc>
          <w:tcPr>
            <w:tcW w:w="2651" w:type="dxa"/>
            <w:vAlign w:val="center"/>
          </w:tcPr>
          <w:p>
            <w:pPr>
              <w:pStyle w:val="21"/>
              <w:bidi w:val="0"/>
              <w:jc w:val="left"/>
              <w:rPr>
                <w:rFonts w:hint="default"/>
                <w:lang w:val="en-US" w:eastAsia="zh-CN"/>
              </w:rPr>
            </w:pPr>
            <w:r>
              <w:rPr>
                <w:rFonts w:hint="eastAsia"/>
                <w:lang w:val="en-US" w:eastAsia="zh-CN"/>
              </w:rPr>
              <w:t>1、完善、高效的教材运营管理方案</w:t>
            </w:r>
            <w:r>
              <w:rPr>
                <w:rFonts w:hint="eastAsia"/>
                <w:lang w:val="en-US" w:eastAsia="zh-CN"/>
              </w:rPr>
              <w:br w:type="textWrapping"/>
            </w:r>
          </w:p>
        </w:tc>
        <w:tc>
          <w:tcPr>
            <w:tcW w:w="2404" w:type="dxa"/>
            <w:vAlign w:val="center"/>
          </w:tcPr>
          <w:p>
            <w:pPr>
              <w:pStyle w:val="21"/>
              <w:bidi w:val="0"/>
              <w:jc w:val="left"/>
              <w:rPr>
                <w:rFonts w:hint="eastAsia"/>
                <w:lang w:eastAsia="zh-CN"/>
              </w:rPr>
            </w:pPr>
            <w:r>
              <w:rPr>
                <w:rFonts w:hint="eastAsia"/>
                <w:lang w:eastAsia="zh-CN"/>
              </w:rPr>
              <w:t>投标单位对教材质量保证、采订管控、分发流程、售后服务的管理。优（</w:t>
            </w:r>
            <w:r>
              <w:rPr>
                <w:rFonts w:hint="eastAsia"/>
                <w:lang w:val="en-US" w:eastAsia="zh-CN"/>
              </w:rPr>
              <w:t>10-15分</w:t>
            </w:r>
            <w:r>
              <w:rPr>
                <w:rFonts w:hint="eastAsia"/>
                <w:lang w:eastAsia="zh-CN"/>
              </w:rPr>
              <w:t>），良（</w:t>
            </w:r>
            <w:r>
              <w:rPr>
                <w:rFonts w:hint="eastAsia"/>
                <w:lang w:val="en-US" w:eastAsia="zh-CN"/>
              </w:rPr>
              <w:t>5-9分</w:t>
            </w:r>
            <w:r>
              <w:rPr>
                <w:rFonts w:hint="eastAsia"/>
                <w:lang w:eastAsia="zh-CN"/>
              </w:rPr>
              <w:t>），中（</w:t>
            </w:r>
            <w:r>
              <w:rPr>
                <w:rFonts w:hint="eastAsia"/>
                <w:lang w:val="en-US" w:eastAsia="zh-CN"/>
              </w:rPr>
              <w:t>1-4分</w:t>
            </w:r>
            <w:r>
              <w:rPr>
                <w:rFonts w:hint="eastAsia"/>
                <w:lang w:eastAsia="zh-CN"/>
              </w:rPr>
              <w:t>）</w:t>
            </w:r>
          </w:p>
        </w:tc>
        <w:tc>
          <w:tcPr>
            <w:tcW w:w="1006" w:type="dxa"/>
            <w:vMerge w:val="restart"/>
            <w:vAlign w:val="center"/>
          </w:tcPr>
          <w:p>
            <w:pPr>
              <w:pStyle w:val="20"/>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51" w:type="dxa"/>
            <w:vMerge w:val="continue"/>
            <w:vAlign w:val="center"/>
          </w:tcPr>
          <w:p>
            <w:pPr>
              <w:pStyle w:val="21"/>
              <w:bidi w:val="0"/>
              <w:jc w:val="left"/>
            </w:pPr>
          </w:p>
        </w:tc>
        <w:tc>
          <w:tcPr>
            <w:tcW w:w="1710" w:type="dxa"/>
            <w:vMerge w:val="continue"/>
            <w:vAlign w:val="center"/>
          </w:tcPr>
          <w:p>
            <w:pPr>
              <w:pStyle w:val="21"/>
              <w:bidi w:val="0"/>
              <w:jc w:val="left"/>
            </w:pPr>
          </w:p>
        </w:tc>
        <w:tc>
          <w:tcPr>
            <w:tcW w:w="2651" w:type="dxa"/>
            <w:vAlign w:val="center"/>
          </w:tcPr>
          <w:p>
            <w:pPr>
              <w:pStyle w:val="21"/>
              <w:bidi w:val="0"/>
              <w:jc w:val="left"/>
            </w:pPr>
            <w:r>
              <w:rPr>
                <w:rFonts w:hint="eastAsia"/>
                <w:lang w:val="en-US" w:eastAsia="zh-CN"/>
              </w:rPr>
              <w:t>2、投标人承诺的特色及增值服务</w:t>
            </w:r>
          </w:p>
        </w:tc>
        <w:tc>
          <w:tcPr>
            <w:tcW w:w="2404" w:type="dxa"/>
            <w:vAlign w:val="center"/>
          </w:tcPr>
          <w:p>
            <w:pPr>
              <w:pStyle w:val="21"/>
              <w:bidi w:val="0"/>
              <w:jc w:val="left"/>
              <w:rPr>
                <w:rFonts w:hint="default"/>
                <w:lang w:val="en-US" w:eastAsia="zh-CN"/>
              </w:rPr>
            </w:pPr>
            <w:r>
              <w:rPr>
                <w:rFonts w:hint="eastAsia"/>
                <w:lang w:eastAsia="zh-CN"/>
              </w:rPr>
              <w:t>提供有实用价值及特色服务的给予</w:t>
            </w:r>
            <w:r>
              <w:rPr>
                <w:rFonts w:hint="eastAsia"/>
                <w:lang w:val="en-US" w:eastAsia="zh-CN"/>
              </w:rPr>
              <w:t>1-5分</w:t>
            </w:r>
          </w:p>
        </w:tc>
        <w:tc>
          <w:tcPr>
            <w:tcW w:w="1006" w:type="dxa"/>
            <w:vMerge w:val="continue"/>
            <w:vAlign w:val="center"/>
          </w:tcPr>
          <w:p>
            <w:pPr>
              <w:pStyle w:val="21"/>
              <w:bidi w:val="0"/>
              <w:jc w:val="lef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20"/>
              <w:bidi w:val="0"/>
              <w:rPr>
                <w:rFonts w:hint="eastAsia"/>
                <w:lang w:eastAsia="zh-CN"/>
              </w:rPr>
            </w:pPr>
          </w:p>
        </w:tc>
        <w:tc>
          <w:tcPr>
            <w:tcW w:w="1710" w:type="dxa"/>
            <w:vAlign w:val="center"/>
          </w:tcPr>
          <w:p>
            <w:pPr>
              <w:pStyle w:val="20"/>
              <w:bidi w:val="0"/>
              <w:rPr>
                <w:rFonts w:hint="eastAsia"/>
                <w:lang w:eastAsia="zh-CN"/>
              </w:rPr>
            </w:pPr>
            <w:r>
              <w:rPr>
                <w:rFonts w:hint="eastAsia"/>
                <w:lang w:eastAsia="zh-CN"/>
              </w:rPr>
              <w:t>合</w:t>
            </w:r>
            <w:r>
              <w:rPr>
                <w:rFonts w:hint="eastAsia"/>
                <w:lang w:val="en-US" w:eastAsia="zh-CN"/>
              </w:rPr>
              <w:t xml:space="preserve">  </w:t>
            </w:r>
            <w:r>
              <w:rPr>
                <w:rFonts w:hint="eastAsia"/>
                <w:lang w:eastAsia="zh-CN"/>
              </w:rPr>
              <w:t>计</w:t>
            </w:r>
          </w:p>
        </w:tc>
        <w:tc>
          <w:tcPr>
            <w:tcW w:w="2651" w:type="dxa"/>
            <w:vAlign w:val="center"/>
          </w:tcPr>
          <w:p>
            <w:pPr>
              <w:pStyle w:val="20"/>
              <w:bidi w:val="0"/>
              <w:jc w:val="left"/>
              <w:rPr>
                <w:rFonts w:hint="eastAsia"/>
                <w:lang w:eastAsia="zh-CN"/>
              </w:rPr>
            </w:pPr>
          </w:p>
        </w:tc>
        <w:tc>
          <w:tcPr>
            <w:tcW w:w="2404" w:type="dxa"/>
            <w:vAlign w:val="center"/>
          </w:tcPr>
          <w:p>
            <w:pPr>
              <w:pStyle w:val="20"/>
              <w:bidi w:val="0"/>
              <w:jc w:val="left"/>
              <w:rPr>
                <w:rFonts w:hint="eastAsia"/>
                <w:lang w:eastAsia="zh-CN"/>
              </w:rPr>
            </w:pPr>
          </w:p>
        </w:tc>
        <w:tc>
          <w:tcPr>
            <w:tcW w:w="1006" w:type="dxa"/>
            <w:vAlign w:val="center"/>
          </w:tcPr>
          <w:p>
            <w:pPr>
              <w:pStyle w:val="20"/>
              <w:bidi w:val="0"/>
              <w:rPr>
                <w:rFonts w:hint="eastAsia"/>
                <w:lang w:eastAsia="zh-CN"/>
              </w:rPr>
            </w:pPr>
          </w:p>
        </w:tc>
      </w:tr>
    </w:tbl>
    <w:p>
      <w:pPr>
        <w:rPr>
          <w:rFonts w:hint="eastAsia"/>
          <w:lang w:eastAsia="zh-CN"/>
        </w:rPr>
      </w:pPr>
    </w:p>
    <w:sectPr>
      <w:pgSz w:w="11906" w:h="16838"/>
      <w:pgMar w:top="1327"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EE90D"/>
    <w:multiLevelType w:val="multilevel"/>
    <w:tmpl w:val="FA9EE90D"/>
    <w:lvl w:ilvl="0" w:tentative="0">
      <w:start w:val="1"/>
      <w:numFmt w:val="chineseCounting"/>
      <w:pStyle w:val="1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568CAF8"/>
    <w:multiLevelType w:val="multilevel"/>
    <w:tmpl w:val="6568CAF8"/>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013C"/>
    <w:rsid w:val="066F21BF"/>
    <w:rsid w:val="0B9D4CA8"/>
    <w:rsid w:val="11D608AE"/>
    <w:rsid w:val="16544C4F"/>
    <w:rsid w:val="1CA663D6"/>
    <w:rsid w:val="1EEB23D4"/>
    <w:rsid w:val="21326D9F"/>
    <w:rsid w:val="37F80741"/>
    <w:rsid w:val="394764D5"/>
    <w:rsid w:val="3B6D6029"/>
    <w:rsid w:val="3CF54E14"/>
    <w:rsid w:val="3D737ADF"/>
    <w:rsid w:val="46DE0628"/>
    <w:rsid w:val="49203F6E"/>
    <w:rsid w:val="5019083B"/>
    <w:rsid w:val="543874A8"/>
    <w:rsid w:val="607B7659"/>
    <w:rsid w:val="6AA77F93"/>
    <w:rsid w:val="6EEF42D5"/>
    <w:rsid w:val="73E600E2"/>
    <w:rsid w:val="78A21B4C"/>
    <w:rsid w:val="7B56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color w:val="262626" w:themeColor="text1" w:themeTint="D9"/>
      <w:kern w:val="2"/>
      <w:sz w:val="24"/>
      <w:szCs w:val="22"/>
      <w:lang w:val="en-US" w:eastAsia="zh-CN" w:bidi="ar-SA"/>
      <w14:textFill>
        <w14:solidFill>
          <w14:schemeClr w14:val="tx1">
            <w14:lumMod w14:val="85000"/>
            <w14:lumOff w14:val="15000"/>
          </w14:schemeClr>
        </w14:solidFill>
      </w14:textFill>
    </w:rPr>
  </w:style>
  <w:style w:type="paragraph" w:styleId="3">
    <w:name w:val="heading 1"/>
    <w:basedOn w:val="1"/>
    <w:next w:val="1"/>
    <w:qFormat/>
    <w:uiPriority w:val="0"/>
    <w:pPr>
      <w:keepNext/>
      <w:keepLines/>
      <w:numPr>
        <w:ilvl w:val="0"/>
        <w:numId w:val="1"/>
      </w:numPr>
      <w:spacing w:line="480" w:lineRule="auto"/>
      <w:ind w:left="0" w:firstLine="0"/>
      <w:jc w:val="left"/>
      <w:outlineLvl w:val="0"/>
    </w:pPr>
    <w:rPr>
      <w:rFonts w:eastAsia="微软雅黑" w:asciiTheme="minorAscii" w:hAnsiTheme="minorAscii" w:cstheme="minorBidi"/>
      <w:kern w:val="44"/>
      <w:sz w:val="30"/>
    </w:rPr>
  </w:style>
  <w:style w:type="paragraph" w:styleId="4">
    <w:name w:val="heading 2"/>
    <w:basedOn w:val="1"/>
    <w:next w:val="1"/>
    <w:unhideWhenUsed/>
    <w:qFormat/>
    <w:uiPriority w:val="0"/>
    <w:pPr>
      <w:keepNext/>
      <w:keepLines/>
      <w:numPr>
        <w:ilvl w:val="1"/>
        <w:numId w:val="0"/>
      </w:numPr>
      <w:spacing w:before="260" w:beforeLines="0" w:beforeAutospacing="0" w:after="260" w:afterLines="0" w:afterAutospacing="0" w:line="413" w:lineRule="auto"/>
      <w:ind w:left="0" w:firstLine="0"/>
      <w:outlineLvl w:val="1"/>
    </w:pPr>
    <w:rPr>
      <w:rFonts w:ascii="Arial" w:hAnsi="Arial" w:eastAsia="微软雅黑"/>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0" w:firstLine="400"/>
      <w:outlineLvl w:val="2"/>
    </w:pPr>
    <w:rPr>
      <w:b/>
      <w:sz w:val="32"/>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12">
    <w:name w:val="Body Text 3"/>
    <w:basedOn w:val="1"/>
    <w:qFormat/>
    <w:uiPriority w:val="0"/>
    <w:pPr>
      <w:spacing w:after="120" w:afterLines="0" w:afterAutospacing="0"/>
    </w:pPr>
    <w:rPr>
      <w:sz w:val="16"/>
    </w:rPr>
  </w:style>
  <w:style w:type="paragraph" w:styleId="13">
    <w:name w:val="toc 1"/>
    <w:basedOn w:val="1"/>
    <w:next w:val="1"/>
    <w:qFormat/>
    <w:uiPriority w:val="0"/>
    <w:pPr>
      <w:numPr>
        <w:ilvl w:val="0"/>
        <w:numId w:val="2"/>
      </w:numPr>
    </w:pPr>
    <w:rPr>
      <w:rFonts w:ascii="Calibri" w:hAnsi="Calibri" w:eastAsia="仿宋" w:cs="Times New Roman"/>
      <w:sz w:val="28"/>
    </w:rPr>
  </w:style>
  <w:style w:type="paragraph" w:styleId="14">
    <w:name w:val="Normal (Web)"/>
    <w:basedOn w:val="1"/>
    <w:unhideWhenUsed/>
    <w:qFormat/>
    <w:uiPriority w:val="99"/>
    <w:pPr>
      <w:spacing w:beforeAutospacing="1" w:afterAutospacing="1"/>
      <w:jc w:val="left"/>
    </w:pPr>
    <w:rPr>
      <w:rFonts w:ascii="Calibri" w:hAnsi="Calibri" w:eastAsia="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雅黑正文1"/>
    <w:basedOn w:val="1"/>
    <w:qFormat/>
    <w:uiPriority w:val="0"/>
    <w:pPr>
      <w:spacing w:line="40" w:lineRule="atLeast"/>
      <w:ind w:left="0" w:leftChars="0"/>
    </w:pPr>
    <w:rPr>
      <w:rFonts w:ascii="Times New Roman" w:hAnsi="Times New Roman" w:eastAsia="微软雅黑"/>
    </w:rPr>
  </w:style>
  <w:style w:type="paragraph" w:customStyle="1" w:styleId="20">
    <w:name w:val="表格正文"/>
    <w:basedOn w:val="1"/>
    <w:qFormat/>
    <w:uiPriority w:val="0"/>
    <w:pPr>
      <w:jc w:val="center"/>
    </w:pPr>
    <w:rPr>
      <w:rFonts w:ascii="Times New Roman" w:hAnsi="Times New Roman"/>
    </w:rPr>
  </w:style>
  <w:style w:type="paragraph" w:customStyle="1" w:styleId="21">
    <w:name w:val="表格内文"/>
    <w:basedOn w:val="12"/>
    <w:next w:val="12"/>
    <w:qFormat/>
    <w:uiPriority w:val="0"/>
    <w:pPr>
      <w:spacing w:line="240" w:lineRule="auto"/>
    </w:pPr>
    <w:rPr>
      <w:rFonts w:ascii="Times New Roman" w:hAnsi="Times New Roman"/>
      <w:sz w:val="21"/>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2019-11-03T07:14:00Z</dcterms:created>
  <dc:creator>Administrator</dc:creator>
  <cp:lastModifiedBy>阿诺多罗</cp:lastModifiedBy>
  <dcterms:modified xsi:type="dcterms:W3CDTF">2020-04-08T06:38:47Z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