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
        <w:rPr>
          <w:rFonts w:ascii="宋体" w:hAnsi="宋体" w:cs="宋体"/>
          <w:sz w:val="24"/>
          <w:szCs w:val="24"/>
        </w:rPr>
      </w:pPr>
    </w:p>
    <w:p w14:paraId="07F7647B">
      <w:pPr>
        <w:pStyle w:val="2"/>
        <w:rPr>
          <w:rFonts w:ascii="宋体" w:hAnsi="宋体" w:cs="宋体"/>
          <w:sz w:val="24"/>
          <w:szCs w:val="24"/>
        </w:rPr>
      </w:pPr>
    </w:p>
    <w:p w14:paraId="54F101FB">
      <w:pPr>
        <w:pStyle w:val="2"/>
        <w:rPr>
          <w:rFonts w:ascii="宋体" w:hAnsi="宋体" w:cs="宋体"/>
          <w:sz w:val="24"/>
          <w:szCs w:val="24"/>
        </w:rPr>
      </w:pPr>
    </w:p>
    <w:p w14:paraId="67B44428">
      <w:pPr>
        <w:pStyle w:val="2"/>
        <w:rPr>
          <w:rFonts w:ascii="宋体" w:hAnsi="宋体" w:cs="宋体"/>
          <w:sz w:val="24"/>
          <w:szCs w:val="24"/>
        </w:rPr>
      </w:pPr>
    </w:p>
    <w:p w14:paraId="5290FA9C">
      <w:pPr>
        <w:pStyle w:val="2"/>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海安校区东地块46#学生公寓及南通校区南地块公寓床制作安装</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ZCZB2024052</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
        <w:rPr>
          <w:rFonts w:hint="eastAsia" w:asciiTheme="majorEastAsia" w:hAnsiTheme="majorEastAsia" w:eastAsiaTheme="majorEastAsia" w:cstheme="majorEastAsia"/>
          <w:b/>
          <w:bCs/>
          <w:sz w:val="32"/>
          <w:szCs w:val="32"/>
          <w:highlight w:val="none"/>
        </w:rPr>
      </w:pPr>
    </w:p>
    <w:p w14:paraId="19E12045">
      <w:pPr>
        <w:pStyle w:val="2"/>
        <w:rPr>
          <w:rFonts w:hint="eastAsia" w:asciiTheme="majorEastAsia" w:hAnsiTheme="majorEastAsia" w:eastAsiaTheme="majorEastAsia" w:cstheme="majorEastAsia"/>
          <w:b/>
          <w:bCs/>
          <w:sz w:val="32"/>
          <w:szCs w:val="32"/>
          <w:highlight w:val="none"/>
        </w:rPr>
      </w:pPr>
    </w:p>
    <w:p w14:paraId="11286521">
      <w:pPr>
        <w:pStyle w:val="2"/>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12</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海安校区东地块46#学生公寓及南通校区南地块公寓床制作安装</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F2C2BDD">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海安校区东地块46#学生公寓及南通校区南地块公寓床制作安装</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31061B20">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海</w:t>
      </w:r>
      <w:r>
        <w:rPr>
          <w:rFonts w:hint="eastAsia" w:ascii="宋体" w:hAnsi="宋体" w:cs="宋体"/>
          <w:sz w:val="24"/>
          <w:szCs w:val="24"/>
          <w:lang w:val="en-US" w:eastAsia="zh-CN"/>
        </w:rPr>
        <w:t>安</w:t>
      </w:r>
      <w:r>
        <w:rPr>
          <w:rFonts w:hint="eastAsia" w:ascii="宋体" w:hAnsi="宋体" w:eastAsia="宋体" w:cs="宋体"/>
          <w:sz w:val="24"/>
          <w:szCs w:val="24"/>
          <w:lang w:val="en-US" w:eastAsia="zh-CN"/>
        </w:rPr>
        <w:t>校区：两连体中踏板公寓床（上床下桌），4人间451间，共计1804个床位。</w:t>
      </w:r>
    </w:p>
    <w:p w14:paraId="457A1782">
      <w:pPr>
        <w:spacing w:line="360" w:lineRule="exact"/>
        <w:ind w:left="-1"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南通校区：暂定3</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00个床位</w:t>
      </w:r>
    </w:p>
    <w:p w14:paraId="7BF157BE">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5271B5A9">
      <w:pPr>
        <w:numPr>
          <w:ilvl w:val="0"/>
          <w:numId w:val="0"/>
        </w:numPr>
        <w:spacing w:line="360" w:lineRule="exact"/>
        <w:ind w:firstLine="480" w:firstLineChars="200"/>
        <w:rPr>
          <w:rFonts w:hint="default"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海安校区东地块及南通校区南地块</w:t>
      </w:r>
    </w:p>
    <w:p w14:paraId="5E1ED00D">
      <w:pPr>
        <w:numPr>
          <w:ilvl w:val="0"/>
          <w:numId w:val="0"/>
        </w:numPr>
        <w:spacing w:line="360" w:lineRule="exact"/>
        <w:ind w:firstLine="480" w:firstLineChars="200"/>
        <w:rPr>
          <w:rFonts w:hint="default"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海安校区</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进场安装，7月20日</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南通校区2026年5月进场安装（具体进场时间待定）.两个校区的公寓床分批交付。</w:t>
      </w:r>
    </w:p>
    <w:p w14:paraId="1E7C16DA">
      <w:pPr>
        <w:numPr>
          <w:ilvl w:val="0"/>
          <w:numId w:val="0"/>
        </w:num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031B879F">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0000FF"/>
          <w:sz w:val="24"/>
          <w:szCs w:val="24"/>
          <w:lang w:val="en-US" w:eastAsia="zh-CN"/>
        </w:rPr>
        <w:t>600</w:t>
      </w:r>
      <w:r>
        <w:rPr>
          <w:rFonts w:hint="eastAsia" w:ascii="黑体" w:hAnsi="黑体" w:eastAsia="黑体" w:cs="黑体"/>
          <w:b/>
          <w:bCs/>
          <w:color w:val="0000FF"/>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r>
        <w:rPr>
          <w:rFonts w:hint="eastAsia" w:ascii="宋体" w:hAnsi="宋体" w:cs="宋体"/>
          <w:color w:val="0000FF"/>
          <w:sz w:val="24"/>
          <w:szCs w:val="24"/>
          <w:highlight w:val="none"/>
          <w:lang w:val="en-US" w:eastAsia="zh-CN"/>
        </w:rPr>
        <w:t>递交标书的同时需提供一组完整的公寓床样品。</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4"/>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4"/>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5FC5BF6F">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4"/>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7B1A1692">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5016CB5">
      <w:pPr>
        <w:spacing w:line="440" w:lineRule="exact"/>
        <w:rPr>
          <w:rFonts w:ascii="宋体" w:hAnsi="宋体"/>
          <w:b/>
          <w:bCs/>
          <w:sz w:val="30"/>
          <w:szCs w:val="30"/>
        </w:rPr>
      </w:pPr>
    </w:p>
    <w:p w14:paraId="707134EC">
      <w:pPr>
        <w:spacing w:line="360" w:lineRule="auto"/>
        <w:ind w:firstLine="643" w:firstLineChars="200"/>
        <w:jc w:val="center"/>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2B9316D7">
      <w:pPr>
        <w:spacing w:line="360" w:lineRule="auto"/>
        <w:ind w:firstLine="480" w:firstLineChars="200"/>
        <w:rPr>
          <w:rFonts w:ascii="宋体" w:hAnsi="宋体" w:eastAsia="宋体" w:cs="宋体"/>
          <w:color w:val="0000FF"/>
          <w:sz w:val="24"/>
          <w:szCs w:val="24"/>
        </w:rPr>
      </w:pPr>
      <w:r>
        <w:rPr>
          <w:rFonts w:ascii="Times New Roman" w:hAnsi="Times New Roman" w:cs="Times New Roman"/>
          <w:color w:val="0000FF"/>
          <w:sz w:val="24"/>
        </w:rPr>
        <w:t>（</w:t>
      </w:r>
      <w:r>
        <w:rPr>
          <w:rFonts w:hint="eastAsia" w:ascii="Times New Roman" w:hAnsi="Times New Roman" w:cs="Times New Roman"/>
          <w:color w:val="0000FF"/>
          <w:sz w:val="24"/>
          <w:lang w:val="en-US" w:eastAsia="zh-CN"/>
        </w:rPr>
        <w:t>8</w:t>
      </w:r>
      <w:r>
        <w:rPr>
          <w:rFonts w:hint="eastAsia" w:cs="Times New Roman"/>
          <w:color w:val="0000FF"/>
          <w:sz w:val="24"/>
          <w:lang w:val="en-US" w:eastAsia="zh-CN"/>
        </w:rPr>
        <w:t>）</w:t>
      </w:r>
      <w:r>
        <w:rPr>
          <w:rFonts w:ascii="宋体" w:hAnsi="宋体" w:eastAsia="宋体" w:cs="宋体"/>
          <w:color w:val="0000FF"/>
          <w:sz w:val="24"/>
          <w:szCs w:val="24"/>
        </w:rPr>
        <w:t>详细阐述所投货物的主要组成部分、功能设计、实现思路及关键技术；</w:t>
      </w:r>
    </w:p>
    <w:p w14:paraId="02AF041F">
      <w:pPr>
        <w:spacing w:line="360" w:lineRule="auto"/>
        <w:ind w:firstLine="480" w:firstLineChars="200"/>
        <w:rPr>
          <w:rFonts w:ascii="Times New Roman" w:hAnsi="Times New Roman" w:cs="Times New Roman"/>
          <w:sz w:val="24"/>
        </w:rPr>
      </w:pPr>
      <w:r>
        <w:rPr>
          <w:rFonts w:hint="eastAsia" w:cs="Times New Roman"/>
          <w:sz w:val="24"/>
          <w:lang w:eastAsia="zh-CN"/>
        </w:rPr>
        <w:t>（</w:t>
      </w:r>
      <w:r>
        <w:rPr>
          <w:rFonts w:hint="eastAsia" w:cs="Times New Roman"/>
          <w:sz w:val="24"/>
          <w:lang w:val="en-US" w:eastAsia="zh-CN"/>
        </w:rPr>
        <w:t>9</w:t>
      </w:r>
      <w:r>
        <w:rPr>
          <w:rFonts w:hint="eastAsia" w:cs="Times New Roman"/>
          <w:sz w:val="24"/>
          <w:lang w:eastAsia="zh-CN"/>
        </w:rPr>
        <w:t>）</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培训、保洁、总包配合</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w:t>
      </w:r>
      <w:r>
        <w:rPr>
          <w:rFonts w:hint="eastAsia"/>
          <w:sz w:val="24"/>
          <w:lang w:val="en-US" w:eastAsia="zh-CN"/>
        </w:rPr>
        <w:t>安装、调试、搬运及垃圾清运</w:t>
      </w:r>
      <w:r>
        <w:rPr>
          <w:rFonts w:hint="eastAsia"/>
          <w:sz w:val="24"/>
          <w:lang w:eastAsia="zh-CN"/>
        </w:rPr>
        <w:t>。</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6"/>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30</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5"/>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5"/>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5"/>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color w:val="0000FF"/>
                <w:szCs w:val="21"/>
                <w:lang w:val="en-US" w:eastAsia="zh-CN"/>
              </w:rPr>
              <w:t>质量管理体系认证证书、环境管理体系认证证书、环保产品认证、安全生产许可证等证书。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5CFF92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51A38EB7">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33AAEBB4">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shd w:val="clear" w:color="auto" w:fill="auto"/>
            <w:vAlign w:val="center"/>
          </w:tcPr>
          <w:p w14:paraId="34DE3174">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441CD62F">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76E76005">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shd w:val="clear" w:color="auto" w:fill="auto"/>
            <w:vAlign w:val="center"/>
          </w:tcPr>
          <w:p w14:paraId="54D30EE0">
            <w:pPr>
              <w:spacing w:line="240" w:lineRule="auto"/>
              <w:rPr>
                <w:rFonts w:hint="eastAsia" w:ascii="宋体" w:hAnsi="宋体" w:eastAsia="宋体" w:cs="宋体"/>
                <w:kern w:val="2"/>
                <w:sz w:val="21"/>
                <w:szCs w:val="21"/>
                <w:lang w:val="en-US" w:eastAsia="zh-CN" w:bidi="ar-SA"/>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48CD6BE6">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733026A4">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shd w:val="clear" w:color="auto" w:fill="auto"/>
            <w:vAlign w:val="center"/>
          </w:tcPr>
          <w:p w14:paraId="4EC67C45">
            <w:pPr>
              <w:spacing w:line="240" w:lineRule="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需提供原厂质保函，未提供原厂质保函且满足招标文件要求的得1分，否则不得分。</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6DFD187D">
            <w:pPr>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6474D277">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shd w:val="clear" w:color="auto" w:fill="auto"/>
            <w:vAlign w:val="center"/>
          </w:tcPr>
          <w:p w14:paraId="04481368">
            <w:pPr>
              <w:spacing w:line="240" w:lineRule="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根据投标人提供的产品故障报修的响应时间、处理速度、定期巡检以及技术支持、技术培训</w:t>
            </w:r>
            <w:r>
              <w:rPr>
                <w:rFonts w:hint="eastAsia"/>
                <w:szCs w:val="21"/>
                <w:lang w:val="zh-TW" w:eastAsia="zh-CN"/>
              </w:rPr>
              <w:t>、</w:t>
            </w:r>
            <w:r>
              <w:rPr>
                <w:rFonts w:hint="eastAsia"/>
                <w:szCs w:val="21"/>
                <w:lang w:val="en-US" w:eastAsia="zh-CN"/>
              </w:rPr>
              <w:t>供货周期、付款方式</w:t>
            </w:r>
            <w:r>
              <w:rPr>
                <w:rFonts w:hint="eastAsia"/>
                <w:szCs w:val="21"/>
                <w:lang w:val="zh-TW" w:eastAsia="zh-TW"/>
              </w:rPr>
              <w:t>等服务承诺进行评分，优得</w:t>
            </w:r>
            <w:r>
              <w:rPr>
                <w:rFonts w:hint="eastAsia"/>
                <w:szCs w:val="21"/>
                <w:lang w:val="en-US" w:eastAsia="zh-CN"/>
              </w:rPr>
              <w:t>5-6</w:t>
            </w:r>
            <w:r>
              <w:rPr>
                <w:rFonts w:hint="eastAsia"/>
                <w:szCs w:val="21"/>
                <w:lang w:val="zh-TW" w:eastAsia="zh-TW"/>
              </w:rPr>
              <w:t>分，良得</w:t>
            </w:r>
            <w:r>
              <w:rPr>
                <w:rFonts w:hint="eastAsia"/>
                <w:szCs w:val="21"/>
                <w:lang w:val="en-US" w:eastAsia="zh-CN"/>
              </w:rPr>
              <w:t>3-5</w:t>
            </w:r>
            <w:r>
              <w:rPr>
                <w:rFonts w:hint="eastAsia"/>
                <w:szCs w:val="21"/>
                <w:lang w:val="zh-TW" w:eastAsia="zh-TW"/>
              </w:rPr>
              <w:t>分，一般得1</w:t>
            </w:r>
            <w:r>
              <w:rPr>
                <w:rFonts w:hint="eastAsia"/>
                <w:szCs w:val="21"/>
                <w:lang w:val="en-US" w:eastAsia="zh-CN"/>
              </w:rPr>
              <w:t>-2</w:t>
            </w:r>
            <w:r>
              <w:rPr>
                <w:rFonts w:hint="eastAsia"/>
                <w:szCs w:val="21"/>
                <w:lang w:val="zh-TW" w:eastAsia="zh-TW"/>
              </w:rPr>
              <w:t>分，未提供不得分。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55323C45">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21FF08EF">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shd w:val="clear" w:color="auto" w:fill="auto"/>
            <w:vAlign w:val="center"/>
          </w:tcPr>
          <w:p w14:paraId="3C0E86FA">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shd w:val="clear" w:color="auto" w:fill="auto"/>
            <w:vAlign w:val="center"/>
          </w:tcPr>
          <w:p w14:paraId="647E29EF">
            <w:pPr>
              <w:tabs>
                <w:tab w:val="left" w:pos="945"/>
              </w:tabs>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4E82CEFB">
            <w:pPr>
              <w:tabs>
                <w:tab w:val="left" w:pos="945"/>
              </w:tabs>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shd w:val="clear" w:color="auto" w:fill="auto"/>
            <w:vAlign w:val="center"/>
          </w:tcPr>
          <w:p w14:paraId="2F3AC770">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6E6929D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2DA620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1636D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tbl>
      <w:tblPr>
        <w:tblStyle w:val="16"/>
        <w:tblW w:w="839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59"/>
        <w:gridCol w:w="709"/>
        <w:gridCol w:w="1079"/>
        <w:gridCol w:w="4343"/>
      </w:tblGrid>
      <w:tr w14:paraId="615AF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0" w:hRule="atLeast"/>
          <w:jc w:val="center"/>
        </w:trPr>
        <w:tc>
          <w:tcPr>
            <w:tcW w:w="709" w:type="dxa"/>
            <w:vAlign w:val="center"/>
          </w:tcPr>
          <w:p w14:paraId="70287384">
            <w:pPr>
              <w:jc w:val="center"/>
              <w:rPr>
                <w:rFonts w:ascii="仿宋" w:hAnsi="仿宋" w:eastAsia="仿宋"/>
                <w:color w:val="auto"/>
                <w:sz w:val="28"/>
                <w:szCs w:val="28"/>
              </w:rPr>
            </w:pPr>
            <w:r>
              <w:rPr>
                <w:rFonts w:ascii="仿宋" w:hAnsi="仿宋" w:eastAsia="仿宋"/>
                <w:color w:val="auto"/>
                <w:sz w:val="28"/>
                <w:szCs w:val="28"/>
              </w:rPr>
              <w:t>序号</w:t>
            </w:r>
          </w:p>
        </w:tc>
        <w:tc>
          <w:tcPr>
            <w:tcW w:w="1559" w:type="dxa"/>
            <w:vAlign w:val="center"/>
          </w:tcPr>
          <w:p w14:paraId="18A29A0E">
            <w:pPr>
              <w:jc w:val="center"/>
              <w:rPr>
                <w:rFonts w:ascii="仿宋" w:hAnsi="仿宋" w:eastAsia="仿宋"/>
                <w:color w:val="auto"/>
                <w:sz w:val="28"/>
                <w:szCs w:val="28"/>
              </w:rPr>
            </w:pPr>
            <w:r>
              <w:rPr>
                <w:rFonts w:ascii="仿宋" w:hAnsi="仿宋" w:eastAsia="仿宋"/>
                <w:color w:val="auto"/>
                <w:sz w:val="28"/>
                <w:szCs w:val="28"/>
              </w:rPr>
              <w:t>标的名称</w:t>
            </w:r>
          </w:p>
        </w:tc>
        <w:tc>
          <w:tcPr>
            <w:tcW w:w="709" w:type="dxa"/>
            <w:vAlign w:val="center"/>
          </w:tcPr>
          <w:p w14:paraId="42EDEA2B">
            <w:pPr>
              <w:jc w:val="center"/>
              <w:rPr>
                <w:rFonts w:ascii="仿宋" w:hAnsi="仿宋" w:eastAsia="仿宋"/>
                <w:color w:val="auto"/>
                <w:sz w:val="28"/>
                <w:szCs w:val="28"/>
              </w:rPr>
            </w:pPr>
            <w:r>
              <w:rPr>
                <w:rFonts w:ascii="仿宋" w:hAnsi="仿宋" w:eastAsia="仿宋"/>
                <w:color w:val="auto"/>
                <w:sz w:val="28"/>
                <w:szCs w:val="28"/>
              </w:rPr>
              <w:t>单位</w:t>
            </w:r>
          </w:p>
        </w:tc>
        <w:tc>
          <w:tcPr>
            <w:tcW w:w="1079" w:type="dxa"/>
            <w:vAlign w:val="center"/>
          </w:tcPr>
          <w:p w14:paraId="2B1F2535">
            <w:pPr>
              <w:jc w:val="center"/>
              <w:rPr>
                <w:rFonts w:ascii="仿宋" w:hAnsi="仿宋" w:eastAsia="仿宋"/>
                <w:color w:val="auto"/>
                <w:sz w:val="28"/>
                <w:szCs w:val="28"/>
              </w:rPr>
            </w:pPr>
            <w:r>
              <w:rPr>
                <w:rFonts w:hint="eastAsia" w:ascii="仿宋" w:hAnsi="仿宋" w:eastAsia="仿宋"/>
                <w:color w:val="auto"/>
                <w:sz w:val="28"/>
                <w:szCs w:val="28"/>
                <w:lang w:val="en-US" w:eastAsia="zh-CN"/>
              </w:rPr>
              <w:t>床</w:t>
            </w:r>
            <w:r>
              <w:rPr>
                <w:rFonts w:ascii="仿宋" w:hAnsi="仿宋" w:eastAsia="仿宋"/>
                <w:color w:val="auto"/>
                <w:sz w:val="28"/>
                <w:szCs w:val="28"/>
              </w:rPr>
              <w:t>数量</w:t>
            </w:r>
          </w:p>
        </w:tc>
        <w:tc>
          <w:tcPr>
            <w:tcW w:w="4343" w:type="dxa"/>
            <w:vAlign w:val="center"/>
          </w:tcPr>
          <w:p w14:paraId="72300E91">
            <w:pPr>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配置</w:t>
            </w:r>
          </w:p>
        </w:tc>
      </w:tr>
      <w:tr w14:paraId="1955A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7" w:hRule="atLeast"/>
          <w:jc w:val="center"/>
        </w:trPr>
        <w:tc>
          <w:tcPr>
            <w:tcW w:w="709" w:type="dxa"/>
            <w:vAlign w:val="center"/>
          </w:tcPr>
          <w:p w14:paraId="67CC9E68">
            <w:pPr>
              <w:jc w:val="center"/>
              <w:rPr>
                <w:rFonts w:ascii="仿宋" w:hAnsi="仿宋" w:eastAsia="仿宋"/>
                <w:color w:val="auto"/>
                <w:sz w:val="28"/>
                <w:szCs w:val="28"/>
              </w:rPr>
            </w:pPr>
            <w:r>
              <w:rPr>
                <w:rFonts w:ascii="仿宋" w:hAnsi="仿宋" w:eastAsia="仿宋"/>
                <w:color w:val="auto"/>
                <w:sz w:val="28"/>
                <w:szCs w:val="28"/>
              </w:rPr>
              <w:t>1</w:t>
            </w:r>
          </w:p>
        </w:tc>
        <w:tc>
          <w:tcPr>
            <w:tcW w:w="1559" w:type="dxa"/>
            <w:vAlign w:val="center"/>
          </w:tcPr>
          <w:p w14:paraId="1796601D">
            <w:pPr>
              <w:jc w:val="center"/>
              <w:rPr>
                <w:rFonts w:ascii="仿宋" w:hAnsi="仿宋" w:eastAsia="仿宋"/>
                <w:color w:val="auto"/>
                <w:sz w:val="28"/>
                <w:szCs w:val="28"/>
              </w:rPr>
            </w:pPr>
            <w:r>
              <w:rPr>
                <w:rFonts w:hint="eastAsia" w:ascii="仿宋" w:hAnsi="仿宋" w:eastAsia="仿宋"/>
                <w:color w:val="auto"/>
                <w:sz w:val="28"/>
                <w:szCs w:val="28"/>
                <w:lang w:val="en-US" w:eastAsia="zh-CN"/>
              </w:rPr>
              <w:t>二人位上床下桌组合床（中走梯）</w:t>
            </w:r>
          </w:p>
        </w:tc>
        <w:tc>
          <w:tcPr>
            <w:tcW w:w="709" w:type="dxa"/>
            <w:vAlign w:val="center"/>
          </w:tcPr>
          <w:p w14:paraId="306A6C12">
            <w:pPr>
              <w:jc w:val="center"/>
              <w:rPr>
                <w:rFonts w:ascii="仿宋" w:hAnsi="仿宋" w:eastAsia="仿宋"/>
                <w:color w:val="auto"/>
                <w:sz w:val="28"/>
                <w:szCs w:val="28"/>
              </w:rPr>
            </w:pPr>
            <w:r>
              <w:rPr>
                <w:rFonts w:hint="eastAsia" w:ascii="仿宋" w:hAnsi="仿宋" w:eastAsia="仿宋"/>
                <w:color w:val="auto"/>
                <w:sz w:val="28"/>
                <w:szCs w:val="28"/>
              </w:rPr>
              <w:t>张</w:t>
            </w:r>
          </w:p>
        </w:tc>
        <w:tc>
          <w:tcPr>
            <w:tcW w:w="1079" w:type="dxa"/>
            <w:vAlign w:val="center"/>
          </w:tcPr>
          <w:p w14:paraId="4E90792C">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5000</w:t>
            </w:r>
          </w:p>
        </w:tc>
        <w:tc>
          <w:tcPr>
            <w:tcW w:w="4343" w:type="dxa"/>
            <w:vAlign w:val="center"/>
          </w:tcPr>
          <w:p w14:paraId="2711FDDA">
            <w:pPr>
              <w:keepNext w:val="0"/>
              <w:keepLines w:val="0"/>
              <w:widowControl/>
              <w:suppressLineNumbers w:val="0"/>
              <w:jc w:val="left"/>
              <w:rPr>
                <w:rFonts w:hint="eastAsia" w:ascii="仿宋" w:hAnsi="仿宋" w:eastAsia="仿宋"/>
                <w:color w:val="auto"/>
                <w:sz w:val="28"/>
                <w:szCs w:val="28"/>
                <w:lang w:eastAsia="zh-CN"/>
              </w:rPr>
            </w:pPr>
            <w:r>
              <w:rPr>
                <w:rFonts w:hint="eastAsia" w:ascii="仿宋" w:hAnsi="仿宋" w:eastAsia="仿宋" w:cs="仿宋"/>
                <w:i w:val="0"/>
                <w:iCs w:val="0"/>
                <w:caps w:val="0"/>
                <w:color w:val="auto"/>
                <w:spacing w:val="0"/>
                <w:sz w:val="28"/>
                <w:szCs w:val="28"/>
                <w:shd w:val="clear" w:fill="FFFFFF"/>
              </w:rPr>
              <w:t>每个床位下分别配套衣柜1个、学习桌1张、书架、桌下抽屉及储物柜、</w:t>
            </w:r>
            <w:r>
              <w:rPr>
                <w:rFonts w:hint="eastAsia" w:ascii="仿宋" w:hAnsi="仿宋" w:eastAsia="仿宋" w:cs="仿宋"/>
                <w:i w:val="0"/>
                <w:iCs w:val="0"/>
                <w:caps w:val="0"/>
                <w:color w:val="auto"/>
                <w:spacing w:val="0"/>
                <w:sz w:val="28"/>
                <w:szCs w:val="28"/>
                <w:shd w:val="clear" w:fill="FFFFFF"/>
                <w:lang w:val="en-US" w:eastAsia="zh-CN"/>
              </w:rPr>
              <w:t>书架上安装LED灯，</w:t>
            </w:r>
            <w:r>
              <w:rPr>
                <w:rFonts w:hint="eastAsia" w:ascii="仿宋" w:hAnsi="仿宋" w:eastAsia="仿宋" w:cs="仿宋"/>
                <w:b/>
                <w:bCs/>
                <w:i w:val="0"/>
                <w:iCs w:val="0"/>
                <w:caps w:val="0"/>
                <w:color w:val="0000FF"/>
                <w:spacing w:val="0"/>
                <w:sz w:val="28"/>
                <w:szCs w:val="28"/>
                <w:shd w:val="clear" w:fill="FFFFFF"/>
              </w:rPr>
              <w:t>学习椅1把</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lang w:val="en-US" w:eastAsia="zh-CN"/>
              </w:rPr>
              <w:t>中走梯为柜式带储物功能</w:t>
            </w:r>
          </w:p>
        </w:tc>
      </w:tr>
    </w:tbl>
    <w:p w14:paraId="2FD743C7">
      <w:pPr>
        <w:spacing w:line="240" w:lineRule="auto"/>
        <w:ind w:firstLine="482" w:firstLineChars="200"/>
        <w:rPr>
          <w:rFonts w:hint="eastAsia"/>
          <w:b/>
          <w:color w:val="auto"/>
          <w:sz w:val="24"/>
          <w:lang w:val="en-US" w:eastAsia="zh-CN"/>
        </w:rPr>
      </w:pPr>
    </w:p>
    <w:p w14:paraId="4128A6AB">
      <w:pPr>
        <w:spacing w:line="240" w:lineRule="auto"/>
        <w:ind w:firstLine="482" w:firstLineChars="200"/>
        <w:rPr>
          <w:rFonts w:hint="eastAsia"/>
          <w:b/>
          <w:color w:val="0000FF"/>
          <w:sz w:val="24"/>
          <w:lang w:val="en-US" w:eastAsia="zh-CN"/>
        </w:rPr>
      </w:pPr>
      <w:r>
        <w:rPr>
          <w:rFonts w:hint="eastAsia"/>
          <w:b/>
          <w:color w:val="auto"/>
          <w:sz w:val="24"/>
          <w:lang w:val="en-US" w:eastAsia="zh-CN"/>
        </w:rPr>
        <w:t>宿舍需预留不超过50张的加长床数量（此数量已包含在采购总数量中），其中加长床可与标准床混装，最终加长床数量及尺寸由中标人与采购人在合同履约过程中据实协商约定，所有费用均包含在固定单价及投标总价内，采购人不再支付其他费用。</w:t>
      </w:r>
    </w:p>
    <w:p w14:paraId="197313B0">
      <w:pPr>
        <w:pStyle w:val="36"/>
        <w:ind w:firstLine="480"/>
        <w:rPr>
          <w:rFonts w:hint="eastAsia"/>
          <w:b/>
          <w:bCs w:val="0"/>
          <w:color w:val="auto"/>
          <w:highlight w:val="none"/>
        </w:rPr>
      </w:pPr>
      <w:r>
        <w:rPr>
          <w:rFonts w:hint="eastAsia"/>
          <w:b/>
          <w:bCs w:val="0"/>
          <w:sz w:val="24"/>
          <w:lang w:val="en-US" w:eastAsia="zh-CN"/>
        </w:rPr>
        <w:t>二</w:t>
      </w:r>
      <w:r>
        <w:rPr>
          <w:rFonts w:hint="eastAsia"/>
          <w:b/>
          <w:bCs w:val="0"/>
          <w:color w:val="auto"/>
          <w:highlight w:val="none"/>
          <w:lang w:val="en-US" w:eastAsia="zh-CN"/>
        </w:rPr>
        <w:t>、</w:t>
      </w:r>
      <w:r>
        <w:rPr>
          <w:rFonts w:hint="eastAsia"/>
          <w:b/>
          <w:bCs w:val="0"/>
          <w:color w:val="auto"/>
          <w:highlight w:val="none"/>
        </w:rPr>
        <w:t>参数要求</w:t>
      </w:r>
    </w:p>
    <w:p w14:paraId="334E3E65">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公寓床规格：≧4550*930*2140mm，含蚊帐架高度3300mm（具体以现场实际情况为准，</w:t>
      </w:r>
      <w:r>
        <w:rPr>
          <w:rFonts w:hint="eastAsia" w:ascii="宋体" w:hAnsi="宋体" w:eastAsia="宋体" w:cs="宋体"/>
          <w:b/>
          <w:bCs/>
          <w:color w:val="auto"/>
          <w:kern w:val="0"/>
          <w:sz w:val="24"/>
          <w:szCs w:val="24"/>
          <w:lang w:val="en-US" w:eastAsia="zh-CN" w:bidi="ar-SA"/>
        </w:rPr>
        <w:t>宿舍家具靠窗一侧预留至少100mm墙体间隔</w:t>
      </w:r>
      <w:r>
        <w:rPr>
          <w:rFonts w:hint="eastAsia" w:cs="宋体"/>
          <w:b/>
          <w:bCs/>
          <w:color w:val="auto"/>
          <w:kern w:val="0"/>
          <w:sz w:val="24"/>
          <w:szCs w:val="24"/>
          <w:lang w:val="en-US" w:eastAsia="zh-CN" w:bidi="ar-SA"/>
        </w:rPr>
        <w:t>，公寓床床板内径尺寸需达到至少2000*900mm</w:t>
      </w:r>
      <w:r>
        <w:rPr>
          <w:rFonts w:hint="eastAsia" w:ascii="宋体" w:hAnsi="宋体" w:eastAsia="宋体" w:cs="宋体"/>
          <w:b/>
          <w:bCs/>
          <w:color w:val="auto"/>
          <w:kern w:val="0"/>
          <w:sz w:val="24"/>
          <w:szCs w:val="24"/>
          <w:lang w:val="en-US" w:eastAsia="zh-CN" w:bidi="ar-SA"/>
        </w:rPr>
        <w:t>）</w:t>
      </w:r>
    </w:p>
    <w:p w14:paraId="452021CB">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（1）钢件部分：</w:t>
      </w:r>
    </w:p>
    <w:p w14:paraId="6181DAE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1、前沿挂件采用冷轧钢板，规格为：30*30*215*2.0mm;</w:t>
      </w:r>
    </w:p>
    <w:p w14:paraId="0EF8F5E2">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2、后沿挂件采用冷轧钢板，规格为：30*30*215*2.0mm;</w:t>
      </w:r>
    </w:p>
    <w:p w14:paraId="02F6141D">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3、床梯为中间走梯：中梯宽度≥550mm，柜式带储物功能梯子，床梯踏板需采用高强度防静电 PE 材料，功能尺寸为≥500*225，厚度≥ 20mm，踏步表面需进行防滑凸条处理，凸条间距≥12mm。踏板加强横杠采用方管，规格为：25mm*25mm*1.2mm。</w:t>
      </w:r>
    </w:p>
    <w:p w14:paraId="396969B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lang w:val="zh-CN" w:eastAsia="zh-CN" w:bidi="ar-SA"/>
          <w14:textFill>
            <w14:solidFill>
              <w14:schemeClr w14:val="tx1"/>
            </w14:solidFill>
          </w14:textFill>
        </w:rPr>
        <w:t>、床沿护栏板采用18mm厚实木多层板，护栏板上有四条透气孔，透气孔采用注塑封边；</w:t>
      </w:r>
      <w:r>
        <w:rPr>
          <w:rFonts w:hint="eastAsia" w:ascii="宋体" w:hAnsi="宋体" w:eastAsia="宋体" w:cs="宋体"/>
          <w:color w:val="000000" w:themeColor="text1"/>
          <w:kern w:val="0"/>
          <w:sz w:val="24"/>
          <w:szCs w:val="24"/>
          <w:lang w:val="en-US" w:eastAsia="zh-CN" w:bidi="ar-SA"/>
          <w14:textFill>
            <w14:solidFill>
              <w14:schemeClr w14:val="tx1"/>
            </w14:solidFill>
          </w14:textFill>
        </w:rPr>
        <w:t>要求与周围钢框架契合紧密。护栏内侧需有床褥限高警示线，警戒线至少有一个 100mm 标识；</w:t>
      </w:r>
    </w:p>
    <w:p w14:paraId="56D1227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5、前立柱采用异型管，规格为：72*72*1.2mm；交接处需为弧形设计，消除锐角，高频焊接闭口型材管。与床帮挂件至少采用三个面接触卡式（无螺栓）连接，立柱上下端均需采用优质 PP 塑料的静音高强度管塞。</w:t>
      </w:r>
    </w:p>
    <w:p w14:paraId="13CDF144">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6、后立柱采用异型管，规格为：72*72*1.2mm；</w:t>
      </w:r>
    </w:p>
    <w:p w14:paraId="30520768">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7、前床沿采用异型管，规格为：115*50*1.2mm；</w:t>
      </w:r>
    </w:p>
    <w:p w14:paraId="29482BF6">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8、后床沿采用异型管，规格为：115*50*1.2mm；</w:t>
      </w:r>
    </w:p>
    <w:p w14:paraId="4252211A">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9、床立柱拉杆，采用方管，规格为40*60*1.2mm，下拉杆40*40*1.2mm，后拉杆25*50*1.2mm：</w:t>
      </w:r>
    </w:p>
    <w:p w14:paraId="4314993D">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10、床前沿护栏采用方管，规格为：25mm*25mm*1.2mm；</w:t>
      </w:r>
    </w:p>
    <w:p w14:paraId="4F7954A2">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11、床后沿护栏采用方管，规格为：25mm*25mm*1.2mm； </w:t>
      </w:r>
    </w:p>
    <w:p w14:paraId="12ED789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12、床板托档采用方管，规格为：2</w:t>
      </w:r>
      <w:r>
        <w:rPr>
          <w:rFonts w:hint="eastAsia" w:ascii="宋体" w:hAnsi="宋体" w:eastAsia="宋体" w:cs="宋体"/>
          <w:color w:val="000000" w:themeColor="text1"/>
          <w:kern w:val="0"/>
          <w:sz w:val="24"/>
          <w:szCs w:val="24"/>
          <w:lang w:val="en-US" w:eastAsia="zh-CN" w:bidi="ar-SA"/>
          <w14:textFill>
            <w14:solidFill>
              <w14:schemeClr w14:val="tx1"/>
            </w14:solidFill>
          </w14:textFill>
        </w:rPr>
        <w:t>5mm*25mm*1.2mm，7根；</w:t>
      </w:r>
    </w:p>
    <w:p w14:paraId="5605CCC8">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13、柜体支架采用方管，规格为：25mm*50mm*1.0mm；</w:t>
      </w:r>
    </w:p>
    <w:p w14:paraId="30C66FEE">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14、蚊帐架；</w:t>
      </w:r>
    </w:p>
    <w:p w14:paraId="2EDE896F">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15、木件</w:t>
      </w:r>
      <w:r>
        <w:rPr>
          <w:rFonts w:hint="eastAsia" w:cs="宋体"/>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所有板材为E0级高档环保实木多层板：柜体板材采用18mm厚环保实木多层板，背板9mm厚实木多层板，鸭嘴桌面</w:t>
      </w:r>
      <w:r>
        <w:rPr>
          <w:rFonts w:hint="eastAsia" w:cs="宋体"/>
          <w:color w:val="000000" w:themeColor="text1"/>
          <w:kern w:val="0"/>
          <w:sz w:val="24"/>
          <w:szCs w:val="24"/>
          <w:lang w:val="en-US" w:eastAsia="zh-CN" w:bidi="ar-SA"/>
          <w14:textFill>
            <w14:solidFill>
              <w14:schemeClr w14:val="tx1"/>
            </w14:solidFill>
          </w14:textFill>
        </w:rPr>
        <w:t>，桌面板材厚度25mm厚</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p w14:paraId="29343289">
      <w:pPr>
        <w:pStyle w:val="36"/>
        <w:keepNext w:val="0"/>
        <w:keepLines w:val="0"/>
        <w:pageBreakBefore w:val="0"/>
        <w:kinsoku/>
        <w:wordWrap/>
        <w:overflowPunct/>
        <w:topLinePunct w:val="0"/>
        <w:autoSpaceDE/>
        <w:autoSpaceDN/>
        <w:bidi w:val="0"/>
        <w:adjustRightInd/>
        <w:snapToGrid/>
        <w:ind w:firstLine="480"/>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cs="宋体"/>
          <w:color w:val="000000" w:themeColor="text1"/>
          <w:kern w:val="0"/>
          <w:sz w:val="24"/>
          <w:szCs w:val="24"/>
          <w:lang w:val="en-US" w:eastAsia="zh-CN" w:bidi="ar-SA"/>
          <w14:textFill>
            <w14:solidFill>
              <w14:schemeClr w14:val="tx1"/>
            </w14:solidFill>
          </w14:textFill>
        </w:rPr>
        <w:t>16、</w:t>
      </w:r>
      <w:r>
        <w:rPr>
          <w:rFonts w:hint="eastAsia" w:cs="宋体"/>
          <w:color w:val="0000FF"/>
          <w:kern w:val="0"/>
          <w:sz w:val="24"/>
          <w:szCs w:val="24"/>
          <w:lang w:val="en-US" w:eastAsia="zh-CN" w:bidi="ar-SA"/>
        </w:rPr>
        <w:t>书架上需安装LED护眼灯管（自行提供设计方案）</w:t>
      </w:r>
    </w:p>
    <w:p w14:paraId="4D5D892C">
      <w:pPr>
        <w:pStyle w:val="36"/>
        <w:keepNext w:val="0"/>
        <w:keepLines w:val="0"/>
        <w:pageBreakBefore w:val="0"/>
        <w:kinsoku/>
        <w:wordWrap/>
        <w:overflowPunct/>
        <w:topLinePunct w:val="0"/>
        <w:autoSpaceDE/>
        <w:autoSpaceDN/>
        <w:bidi w:val="0"/>
        <w:adjustRightInd/>
        <w:snapToGrid/>
        <w:ind w:firstLine="480"/>
        <w:textAlignment w:val="auto"/>
        <w:rPr>
          <w:rFonts w:hint="eastAsia" w:cs="宋体"/>
          <w:color w:val="0000FF"/>
          <w:kern w:val="0"/>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17、所有板材采用优质同色PVC封边，封边条厚度1.2mm</w:t>
      </w:r>
      <w:r>
        <w:rPr>
          <w:rFonts w:hint="eastAsia" w:cs="宋体"/>
          <w:color w:val="0000FF"/>
          <w:kern w:val="0"/>
          <w:sz w:val="24"/>
          <w:szCs w:val="24"/>
          <w:lang w:val="en-US" w:eastAsia="zh-CN" w:bidi="ar-SA"/>
        </w:rPr>
        <w:t>（门板有注塑工艺的请提供注塑工艺门板样品）；</w:t>
      </w:r>
    </w:p>
    <w:p w14:paraId="573CA793">
      <w:pPr>
        <w:pStyle w:val="36"/>
        <w:keepNext w:val="0"/>
        <w:keepLines w:val="0"/>
        <w:pageBreakBefore w:val="0"/>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18、挂衣架采用直径为≥19mm ，不锈钢挂衣杆（需固定安装），不锈钢挂衣管厚度：1mm</w:t>
      </w:r>
    </w:p>
    <w:p w14:paraId="15866116">
      <w:pPr>
        <w:pStyle w:val="36"/>
        <w:keepNext w:val="0"/>
        <w:keepLines w:val="0"/>
        <w:pageBreakBefore w:val="0"/>
        <w:kinsoku/>
        <w:wordWrap/>
        <w:overflowPunct/>
        <w:topLinePunct w:val="0"/>
        <w:autoSpaceDE/>
        <w:autoSpaceDN/>
        <w:bidi w:val="0"/>
        <w:adjustRightInd/>
        <w:snapToGrid/>
        <w:ind w:firstLine="480"/>
        <w:textAlignment w:val="auto"/>
        <w:rPr>
          <w:rFonts w:hint="eastAsia"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19、</w:t>
      </w:r>
      <w:r>
        <w:rPr>
          <w:rFonts w:hint="eastAsia" w:cs="宋体"/>
          <w:color w:val="0000FF"/>
          <w:kern w:val="0"/>
          <w:sz w:val="24"/>
          <w:szCs w:val="24"/>
          <w:lang w:val="en-US" w:eastAsia="zh-CN" w:bidi="ar-SA"/>
        </w:rPr>
        <w:t>床板要求：采用中空吹塑床板，带透气孔。</w:t>
      </w:r>
    </w:p>
    <w:p w14:paraId="4025801D">
      <w:pPr>
        <w:pStyle w:val="36"/>
        <w:keepNext w:val="0"/>
        <w:keepLines w:val="0"/>
        <w:pageBreakBefore w:val="0"/>
        <w:numPr>
          <w:ilvl w:val="0"/>
          <w:numId w:val="2"/>
        </w:numPr>
        <w:kinsoku/>
        <w:wordWrap/>
        <w:overflowPunct/>
        <w:topLinePunct w:val="0"/>
        <w:autoSpaceDE/>
        <w:autoSpaceDN/>
        <w:bidi w:val="0"/>
        <w:adjustRightInd/>
        <w:snapToGrid/>
        <w:ind w:firstLine="48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衣柜要求：衣柜底部支撑要用钢件做底托再固定在支撑点上，利于整体衣柜稳定。</w:t>
      </w:r>
    </w:p>
    <w:p w14:paraId="75A586ED">
      <w:pPr>
        <w:pStyle w:val="36"/>
        <w:keepNext w:val="0"/>
        <w:keepLines w:val="0"/>
        <w:pageBreakBefore w:val="0"/>
        <w:kinsoku/>
        <w:wordWrap/>
        <w:overflowPunct/>
        <w:topLinePunct w:val="0"/>
        <w:autoSpaceDE/>
        <w:autoSpaceDN/>
        <w:bidi w:val="0"/>
        <w:adjustRightInd/>
        <w:snapToGrid/>
        <w:ind w:firstLine="480"/>
        <w:textAlignment w:val="auto"/>
        <w:rPr>
          <w:rFonts w:hint="eastAsia" w:cs="宋体"/>
          <w:color w:val="0000FF"/>
          <w:kern w:val="0"/>
          <w:sz w:val="24"/>
          <w:szCs w:val="24"/>
          <w:lang w:val="en-US" w:eastAsia="zh-CN" w:bidi="ar-SA"/>
        </w:rPr>
      </w:pPr>
      <w:r>
        <w:rPr>
          <w:rFonts w:hint="eastAsia" w:cs="宋体"/>
          <w:color w:val="0000FF"/>
          <w:kern w:val="0"/>
          <w:sz w:val="24"/>
          <w:szCs w:val="24"/>
          <w:lang w:val="en-US" w:eastAsia="zh-CN" w:bidi="ar-SA"/>
        </w:rPr>
        <w:t>21、桌面上方预留插座面板空余位置，桌面挡板总高度不得大于85公分；衣柜宽度不得大于80公分。</w:t>
      </w:r>
      <w:bookmarkStart w:id="58" w:name="_GoBack"/>
      <w:bookmarkEnd w:id="58"/>
    </w:p>
    <w:p w14:paraId="18A104AB">
      <w:pPr>
        <w:numPr>
          <w:ilvl w:val="0"/>
          <w:numId w:val="3"/>
        </w:numPr>
        <w:spacing w:line="353" w:lineRule="auto"/>
        <w:ind w:firstLine="482" w:firstLineChars="200"/>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参数说明</w:t>
      </w:r>
    </w:p>
    <w:p w14:paraId="2B1DA0AE">
      <w:pPr>
        <w:pStyle w:val="36"/>
        <w:ind w:firstLine="48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1、标准：符合《中华人民共和国国家标准家具床类主要尺寸》及中华人民共和国轻工行业标准《QB/T2741-2013》学生公寓多功能家具技术标准及说明；板材符合国家 GB18580-2017《室内装饰装修材料，板材及制品中甲醛释放限量》标准和 GB／T11718—2021 标准要求；符合《金属家具通用技术条件》GB/T3325-2017、《金属家具质量检验及质量评定》。 </w:t>
      </w:r>
    </w:p>
    <w:p w14:paraId="21DDF823">
      <w:pPr>
        <w:pStyle w:val="36"/>
        <w:ind w:firstLine="48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2、技术及材质要求：</w:t>
      </w:r>
      <w:r>
        <w:rPr>
          <w:rFonts w:hint="eastAsia" w:ascii="宋体" w:hAnsi="宋体" w:eastAsia="宋体" w:cs="宋体"/>
          <w:b/>
          <w:bCs/>
          <w:color w:val="0000FF"/>
          <w:kern w:val="0"/>
          <w:sz w:val="24"/>
          <w:szCs w:val="24"/>
          <w:lang w:val="en-US" w:eastAsia="zh-CN" w:bidi="ar-SA"/>
        </w:rPr>
        <w:t>所有五金及部件不能有锋利部位</w:t>
      </w:r>
      <w:r>
        <w:rPr>
          <w:rFonts w:hint="eastAsia" w:ascii="宋体" w:hAnsi="宋体" w:eastAsia="宋体" w:cs="宋体"/>
          <w:color w:val="000000" w:themeColor="text1"/>
          <w:kern w:val="0"/>
          <w:sz w:val="24"/>
          <w:szCs w:val="24"/>
          <w:lang w:val="en-US" w:eastAsia="zh-CN" w:bidi="ar-SA"/>
          <w14:textFill>
            <w14:solidFill>
              <w14:schemeClr w14:val="tx1"/>
            </w14:solidFill>
          </w14:textFill>
        </w:rPr>
        <w:t>，产品外形尺寸的极限偏差符合招标文件要求，所有钢材均采用国家标准钢材，高频焊接，各钢件经除锈、酸洗、磷化等工序，经防锈处理，外层采用聚酯环氧粉末喷塑，焊接表面波纹均匀，焊接处无夹渣、气孔、焊瘤、焊丝头咬边飞溅，并保证无脱焊、虚焊及焊穿等现象。涂层附着力及涂层冲击强度：符合 QB/T1951.2-2013 标准。</w:t>
      </w:r>
    </w:p>
    <w:p w14:paraId="06260EFF">
      <w:pPr>
        <w:numPr>
          <w:ilvl w:val="0"/>
          <w:numId w:val="0"/>
        </w:numPr>
        <w:spacing w:line="24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本技术规格中提及的工艺、材料、设备的标准及参考品牌或型号（如有）仅起说明作用，并没有强制性。投标人在投标中可以用替代工艺、材料、设备的标准及品牌或型号，但这种替代须实质上满足、等同或优于本技术规格的要求。</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eastAsia="黑体" w:cs="宋体"/>
          <w:color w:val="000000" w:themeColor="text1"/>
          <w:kern w:val="0"/>
          <w:sz w:val="24"/>
          <w:lang w:val="en-US" w:eastAsia="zh-CN"/>
          <w14:textFill>
            <w14:solidFill>
              <w14:schemeClr w14:val="tx1"/>
            </w14:solidFill>
          </w14:textFill>
        </w:rPr>
        <w:t>5、</w:t>
      </w:r>
      <w:r>
        <w:rPr>
          <w:rFonts w:hint="eastAsia" w:ascii="黑体" w:eastAsia="黑体"/>
          <w:b/>
          <w:sz w:val="24"/>
          <w:lang w:val="en-US" w:eastAsia="zh-CN"/>
        </w:rPr>
        <w:t>投标方提供的设备可以优于上述参数，款式可以优于学校提供的样品，</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投标方案中提供本公司实施的相关案例及所投产品的案例。</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2ADBBEB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8" w:beforeAutospacing="0" w:after="38" w:afterAutospacing="0"/>
        <w:ind w:left="0" w:right="0" w:firstLine="480" w:firstLineChars="200"/>
        <w:rPr>
          <w:rFonts w:ascii="微软雅黑" w:hAnsi="微软雅黑" w:eastAsia="微软雅黑" w:cs="微软雅黑"/>
          <w:i w:val="0"/>
          <w:iCs w:val="0"/>
          <w:caps w:val="0"/>
          <w:color w:val="0000FF"/>
          <w:spacing w:val="0"/>
          <w:sz w:val="24"/>
          <w:szCs w:val="24"/>
        </w:rPr>
      </w:pPr>
      <w:r>
        <w:rPr>
          <w:rFonts w:hint="eastAsia" w:ascii="宋体" w:hAnsi="宋体" w:eastAsia="宋体" w:cs="宋体"/>
          <w:i w:val="0"/>
          <w:iCs w:val="0"/>
          <w:caps w:val="0"/>
          <w:color w:val="0000FF"/>
          <w:spacing w:val="0"/>
          <w:sz w:val="24"/>
          <w:szCs w:val="24"/>
          <w:shd w:val="clear" w:fill="FFFFFF"/>
        </w:rPr>
        <w:t>（1）须免费送货上</w:t>
      </w:r>
      <w:r>
        <w:rPr>
          <w:rFonts w:hint="eastAsia" w:ascii="宋体" w:hAnsi="宋体" w:eastAsia="宋体" w:cs="宋体"/>
          <w:i w:val="0"/>
          <w:iCs w:val="0"/>
          <w:caps w:val="0"/>
          <w:color w:val="0000FF"/>
          <w:spacing w:val="0"/>
          <w:sz w:val="24"/>
          <w:szCs w:val="24"/>
          <w:shd w:val="clear" w:fill="FFFFFF"/>
          <w:lang w:val="en-US" w:eastAsia="zh-CN"/>
        </w:rPr>
        <w:t>楼</w:t>
      </w:r>
      <w:r>
        <w:rPr>
          <w:rFonts w:hint="eastAsia" w:ascii="宋体" w:hAnsi="宋体" w:eastAsia="宋体" w:cs="宋体"/>
          <w:i w:val="0"/>
          <w:iCs w:val="0"/>
          <w:caps w:val="0"/>
          <w:color w:val="0000FF"/>
          <w:spacing w:val="0"/>
          <w:sz w:val="24"/>
          <w:szCs w:val="24"/>
          <w:shd w:val="clear" w:fill="FFFFFF"/>
        </w:rPr>
        <w:t>及安装，须承担桌椅运输过程中的安全责任风险。须承担安装过程中如有坠落、或坠落物造成任何事故。报价含税收费、运费、搬运费、上楼安装费用，所有床都必须</w:t>
      </w:r>
      <w:r>
        <w:rPr>
          <w:rFonts w:hint="eastAsia" w:ascii="宋体" w:hAnsi="宋体" w:eastAsia="宋体" w:cs="宋体"/>
          <w:i w:val="0"/>
          <w:iCs w:val="0"/>
          <w:caps w:val="0"/>
          <w:color w:val="0000FF"/>
          <w:spacing w:val="0"/>
          <w:sz w:val="24"/>
          <w:szCs w:val="24"/>
          <w:shd w:val="clear" w:fill="FFFFFF"/>
          <w:lang w:val="en-US" w:eastAsia="zh-CN"/>
        </w:rPr>
        <w:t>靠墙安装</w:t>
      </w:r>
      <w:r>
        <w:rPr>
          <w:rFonts w:hint="eastAsia" w:ascii="宋体" w:hAnsi="宋体" w:eastAsia="宋体" w:cs="宋体"/>
          <w:i w:val="0"/>
          <w:iCs w:val="0"/>
          <w:caps w:val="0"/>
          <w:color w:val="0000FF"/>
          <w:spacing w:val="0"/>
          <w:sz w:val="24"/>
          <w:szCs w:val="24"/>
          <w:shd w:val="clear" w:fill="FFFFFF"/>
        </w:rPr>
        <w:t>，因墙面原因可酌情加衬板而保证床靠墙无缝隙。乙方保证8年免费维修。</w:t>
      </w:r>
    </w:p>
    <w:p w14:paraId="672448C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8" w:beforeAutospacing="0" w:after="38" w:afterAutospacing="0"/>
        <w:ind w:left="0" w:right="0" w:firstLine="376" w:firstLineChars="157"/>
        <w:rPr>
          <w:rFonts w:hint="eastAsia" w:ascii="微软雅黑" w:hAnsi="微软雅黑" w:eastAsia="微软雅黑" w:cs="微软雅黑"/>
          <w:i w:val="0"/>
          <w:iCs w:val="0"/>
          <w:caps w:val="0"/>
          <w:color w:val="0000FF"/>
          <w:spacing w:val="0"/>
          <w:sz w:val="24"/>
          <w:szCs w:val="24"/>
        </w:rPr>
      </w:pPr>
      <w:r>
        <w:rPr>
          <w:rFonts w:hint="eastAsia" w:ascii="宋体" w:hAnsi="宋体" w:eastAsia="宋体" w:cs="宋体"/>
          <w:i w:val="0"/>
          <w:iCs w:val="0"/>
          <w:caps w:val="0"/>
          <w:color w:val="0000FF"/>
          <w:spacing w:val="0"/>
          <w:sz w:val="24"/>
          <w:szCs w:val="24"/>
          <w:shd w:val="clear" w:fill="FFFFFF"/>
        </w:rPr>
        <w:t>（2）床柜质量及参数。（上床下桌）含床，衣柜、书桌、书架，</w:t>
      </w:r>
      <w:r>
        <w:rPr>
          <w:rFonts w:hint="eastAsia" w:ascii="宋体" w:hAnsi="宋体" w:eastAsia="宋体" w:cs="宋体"/>
          <w:i w:val="0"/>
          <w:iCs w:val="0"/>
          <w:caps w:val="0"/>
          <w:color w:val="0000FF"/>
          <w:spacing w:val="0"/>
          <w:sz w:val="24"/>
          <w:szCs w:val="24"/>
          <w:shd w:val="clear" w:fill="FFFFFF"/>
          <w:lang w:val="en-US" w:eastAsia="zh-CN"/>
        </w:rPr>
        <w:t>灯，</w:t>
      </w:r>
      <w:r>
        <w:rPr>
          <w:rFonts w:hint="eastAsia" w:ascii="宋体" w:hAnsi="宋体" w:eastAsia="宋体" w:cs="宋体"/>
          <w:i w:val="0"/>
          <w:iCs w:val="0"/>
          <w:caps w:val="0"/>
          <w:color w:val="0000FF"/>
          <w:spacing w:val="0"/>
          <w:sz w:val="24"/>
          <w:szCs w:val="24"/>
          <w:shd w:val="clear" w:fill="FFFFFF"/>
        </w:rPr>
        <w:t>椅子，须符合国家标准，维修与服务均遵照设备厂家标准或随设备责任保证书及类似文件享受维修及服务；否则由此产生的后果由乙方</w:t>
      </w:r>
      <w:r>
        <w:rPr>
          <w:rFonts w:hint="eastAsia" w:ascii="宋体" w:hAnsi="宋体" w:cs="宋体"/>
          <w:i w:val="0"/>
          <w:iCs w:val="0"/>
          <w:caps w:val="0"/>
          <w:color w:val="0000FF"/>
          <w:spacing w:val="0"/>
          <w:sz w:val="24"/>
          <w:szCs w:val="24"/>
          <w:shd w:val="clear" w:fill="FFFFFF"/>
          <w:lang w:eastAsia="zh-CN"/>
        </w:rPr>
        <w:t>全权</w:t>
      </w:r>
      <w:r>
        <w:rPr>
          <w:rFonts w:hint="eastAsia" w:ascii="宋体" w:hAnsi="宋体" w:eastAsia="宋体" w:cs="宋体"/>
          <w:i w:val="0"/>
          <w:iCs w:val="0"/>
          <w:caps w:val="0"/>
          <w:color w:val="0000FF"/>
          <w:spacing w:val="0"/>
          <w:sz w:val="24"/>
          <w:szCs w:val="24"/>
          <w:shd w:val="clear" w:fill="FFFFFF"/>
        </w:rPr>
        <w:t>承担。若发现存在劣质产品不论是否造成不良影响，校方均有权利终止合作，并且保留追偿权利。按实际房间的结构并作出相应的床柜尺寸的处理，确保床柜的稳定和质量。</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1BE302E0">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进场安装，于7月20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4B4D8BED">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04A7934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0DF186B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5E36D701">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78995E76">
      <w:pPr>
        <w:pStyle w:val="37"/>
        <w:spacing w:line="360" w:lineRule="auto"/>
        <w:ind w:firstLine="480" w:firstLineChars="200"/>
        <w:jc w:val="left"/>
        <w:rPr>
          <w:rFonts w:ascii="宋体" w:hAnsi="宋体" w:cs="Calibri"/>
          <w:color w:val="auto"/>
          <w:sz w:val="24"/>
          <w:highlight w:val="none"/>
        </w:rPr>
      </w:pPr>
      <w:r>
        <w:rPr>
          <w:rFonts w:hint="eastAsia" w:ascii="宋体" w:hAnsi="宋体" w:eastAsia="宋体" w:cs="宋体"/>
          <w:color w:val="auto"/>
          <w:sz w:val="24"/>
          <w:szCs w:val="24"/>
        </w:rPr>
        <w:t>5</w:t>
      </w:r>
      <w:r>
        <w:rPr>
          <w:rFonts w:hint="eastAsia" w:ascii="宋体" w:hAnsi="宋体" w:eastAsia="宋体" w:cs="宋体"/>
          <w:b/>
          <w:color w:val="auto"/>
          <w:sz w:val="24"/>
          <w:szCs w:val="24"/>
        </w:rPr>
        <w:t>．</w:t>
      </w:r>
      <w:r>
        <w:rPr>
          <w:rFonts w:hint="eastAsia" w:ascii="宋体" w:hAnsi="宋体" w:eastAsia="宋体" w:cs="宋体"/>
          <w:color w:val="auto"/>
          <w:sz w:val="24"/>
          <w:szCs w:val="24"/>
        </w:rPr>
        <w:t>产品质量保证：</w:t>
      </w:r>
      <w:r>
        <w:rPr>
          <w:rFonts w:hint="eastAsia" w:ascii="宋体" w:hAnsi="宋体" w:cs="Calibri"/>
          <w:color w:val="auto"/>
          <w:sz w:val="24"/>
          <w:highlight w:val="none"/>
        </w:rPr>
        <w:t>供应商必须按国家标准执行，为采购人提供优质产品，保证所提供的产品属环保产品，符合国家环保标准，安全、无菌、无异味、无毒。所有产品的包装均应有良好的防潮、防湿、防雨、防锈、防腐及防碰撞的措施。凡由于包装不良造成的损失和由此产生的费用均由中标供应商承担。</w:t>
      </w:r>
    </w:p>
    <w:p w14:paraId="403F91C0">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中标人要提供免费服务，保证甲方技术人员达到熟练操作、维护的程度，能进行一般的日常维护管理和检修，并能够处理简单的故障。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对提供的产品免费保修期（质保期）为八年（原厂质保）</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default" w:ascii="黑体" w:eastAsia="黑体"/>
          <w:b/>
          <w:sz w:val="24"/>
          <w:lang w:val="en-US" w:eastAsia="zh-CN"/>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r>
        <w:rPr>
          <w:rFonts w:hint="eastAsia" w:ascii="黑体" w:eastAsia="黑体"/>
          <w:b/>
          <w:sz w:val="24"/>
          <w:lang w:val="en-US" w:eastAsia="zh-CN"/>
        </w:rPr>
        <w:t>甲醛检测不达标，视为验收不合格，学校将不支付任何费用。同时学校将追究中标单位责任。</w:t>
      </w:r>
    </w:p>
    <w:p w14:paraId="6B715FC0">
      <w:pPr>
        <w:pStyle w:val="2"/>
        <w:rPr>
          <w:rFonts w:ascii="宋体" w:hAnsi="宋体" w:cs="宋体"/>
          <w:sz w:val="24"/>
        </w:rPr>
      </w:pPr>
    </w:p>
    <w:p w14:paraId="5938B031">
      <w:pPr>
        <w:pStyle w:val="2"/>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79737"/>
      <w:bookmarkStart w:id="7" w:name="_Toc231279156"/>
      <w:bookmarkStart w:id="8" w:name="_Toc231280938"/>
      <w:bookmarkStart w:id="9" w:name="_Toc231289905"/>
      <w:bookmarkStart w:id="10" w:name="_Toc231286901"/>
      <w:bookmarkStart w:id="11" w:name="_Toc231279666"/>
      <w:bookmarkStart w:id="12" w:name="_Toc231280344"/>
      <w:bookmarkStart w:id="13" w:name="_Toc231304988"/>
      <w:bookmarkStart w:id="14" w:name="_Toc231280804"/>
      <w:bookmarkStart w:id="15" w:name="_Toc231289771"/>
      <w:bookmarkStart w:id="16" w:name="_Toc231281339"/>
      <w:bookmarkStart w:id="17" w:name="_Toc231289932"/>
      <w:bookmarkStart w:id="18" w:name="_Toc231276966"/>
      <w:bookmarkStart w:id="19" w:name="_Toc231279586"/>
      <w:bookmarkStart w:id="20" w:name="_Toc231279247"/>
      <w:bookmarkStart w:id="21" w:name="_Toc231305090"/>
      <w:bookmarkStart w:id="22" w:name="_Toc231284489"/>
      <w:bookmarkStart w:id="23" w:name="_Toc231282228"/>
      <w:bookmarkStart w:id="24" w:name="_Toc231281705"/>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4"/>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6"/>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3D9FD71A">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4"/>
        <w:rPr>
          <w:rFonts w:ascii="宋体" w:hAnsi="宋体"/>
          <w:b/>
          <w:bCs w:val="0"/>
          <w:color w:val="000000"/>
          <w:sz w:val="21"/>
          <w:szCs w:val="21"/>
        </w:rPr>
      </w:pPr>
      <w:bookmarkStart w:id="25" w:name="_Toc30593"/>
      <w:bookmarkStart w:id="26" w:name="_Toc34991462"/>
      <w:bookmarkStart w:id="27" w:name="_Toc231305093"/>
      <w:bookmarkStart w:id="28" w:name="_Toc231281708"/>
      <w:bookmarkStart w:id="29" w:name="_Toc231289908"/>
      <w:bookmarkStart w:id="30" w:name="_Toc231282231"/>
      <w:bookmarkStart w:id="31" w:name="_Toc231280941"/>
      <w:bookmarkStart w:id="32" w:name="_Toc231289935"/>
      <w:bookmarkStart w:id="33" w:name="_Toc231280347"/>
      <w:bookmarkStart w:id="34" w:name="_Toc231286904"/>
      <w:bookmarkStart w:id="35" w:name="_Toc231304991"/>
      <w:bookmarkStart w:id="36" w:name="_Toc231284492"/>
      <w:bookmarkStart w:id="37" w:name="_Toc407266082"/>
      <w:bookmarkStart w:id="38" w:name="_Toc231280807"/>
      <w:bookmarkStart w:id="39" w:name="_Toc231281342"/>
      <w:bookmarkStart w:id="40" w:name="_Toc231279669"/>
      <w:bookmarkStart w:id="41" w:name="_Toc231279589"/>
      <w:bookmarkStart w:id="42" w:name="_Toc231279740"/>
      <w:bookmarkStart w:id="43" w:name="_Toc23128977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6"/>
        <w:tblW w:w="14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963"/>
        <w:gridCol w:w="696"/>
        <w:gridCol w:w="280"/>
        <w:gridCol w:w="911"/>
        <w:gridCol w:w="280"/>
        <w:gridCol w:w="912"/>
        <w:gridCol w:w="280"/>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905" w:type="dxa"/>
            <w:gridSpan w:val="7"/>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96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gridSpan w:val="2"/>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gridSpan w:val="2"/>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gridSpan w:val="2"/>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exact"/>
        </w:trPr>
        <w:tc>
          <w:tcPr>
            <w:tcW w:w="900" w:type="dxa"/>
            <w:noWrap w:val="0"/>
            <w:vAlign w:val="top"/>
          </w:tcPr>
          <w:p w14:paraId="29AF047E">
            <w:pPr>
              <w:spacing w:line="360" w:lineRule="auto"/>
              <w:rPr>
                <w:rFonts w:hint="eastAsia" w:ascii="宋体" w:eastAsia="宋体"/>
                <w:color w:val="000000"/>
                <w:sz w:val="24"/>
                <w:lang w:val="en-US" w:eastAsia="zh-CN"/>
              </w:rPr>
            </w:pPr>
            <w:r>
              <w:rPr>
                <w:rFonts w:hint="eastAsia" w:ascii="宋体"/>
                <w:color w:val="000000"/>
                <w:sz w:val="24"/>
                <w:lang w:val="en-US" w:eastAsia="zh-CN"/>
              </w:rPr>
              <w:t>1</w:t>
            </w:r>
          </w:p>
        </w:tc>
        <w:tc>
          <w:tcPr>
            <w:tcW w:w="2262" w:type="dxa"/>
            <w:gridSpan w:val="3"/>
            <w:noWrap w:val="0"/>
            <w:vAlign w:val="top"/>
          </w:tcPr>
          <w:p w14:paraId="0546642E">
            <w:pPr>
              <w:spacing w:line="240" w:lineRule="auto"/>
              <w:rPr>
                <w:rFonts w:hint="default" w:ascii="宋体" w:eastAsia="宋体"/>
                <w:color w:val="000000"/>
                <w:sz w:val="24"/>
                <w:lang w:val="en-US" w:eastAsia="zh-CN"/>
              </w:rPr>
            </w:pPr>
            <w:r>
              <w:rPr>
                <w:rFonts w:hint="eastAsia" w:ascii="宋体"/>
                <w:color w:val="000000"/>
                <w:sz w:val="24"/>
                <w:lang w:val="en-US" w:eastAsia="zh-CN"/>
              </w:rPr>
              <w:t>二人位中爬梯上床下桌公寓床</w:t>
            </w: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963" w:type="dxa"/>
            <w:noWrap w:val="0"/>
            <w:vAlign w:val="top"/>
          </w:tcPr>
          <w:p w14:paraId="71ACBD2B">
            <w:pPr>
              <w:spacing w:line="360" w:lineRule="auto"/>
              <w:rPr>
                <w:rFonts w:hint="default" w:ascii="宋体" w:eastAsia="宋体"/>
                <w:color w:val="000000"/>
                <w:sz w:val="24"/>
                <w:lang w:val="en-US" w:eastAsia="zh-CN"/>
              </w:rPr>
            </w:pPr>
            <w:r>
              <w:rPr>
                <w:rFonts w:hint="eastAsia" w:ascii="宋体"/>
                <w:color w:val="000000"/>
                <w:sz w:val="24"/>
                <w:lang w:val="en-US" w:eastAsia="zh-CN"/>
              </w:rPr>
              <w:t>1804</w:t>
            </w:r>
          </w:p>
        </w:tc>
        <w:tc>
          <w:tcPr>
            <w:tcW w:w="976" w:type="dxa"/>
            <w:gridSpan w:val="2"/>
            <w:noWrap w:val="0"/>
            <w:vAlign w:val="top"/>
          </w:tcPr>
          <w:p w14:paraId="6F8601F8">
            <w:pPr>
              <w:spacing w:line="360" w:lineRule="auto"/>
              <w:rPr>
                <w:rFonts w:ascii="宋体"/>
                <w:color w:val="000000"/>
                <w:sz w:val="24"/>
              </w:rPr>
            </w:pPr>
          </w:p>
        </w:tc>
        <w:tc>
          <w:tcPr>
            <w:tcW w:w="1191" w:type="dxa"/>
            <w:gridSpan w:val="2"/>
            <w:noWrap w:val="0"/>
            <w:vAlign w:val="top"/>
          </w:tcPr>
          <w:p w14:paraId="02134850">
            <w:pPr>
              <w:spacing w:line="360" w:lineRule="auto"/>
              <w:rPr>
                <w:rFonts w:ascii="宋体"/>
                <w:color w:val="000000"/>
                <w:sz w:val="24"/>
              </w:rPr>
            </w:pPr>
          </w:p>
        </w:tc>
        <w:tc>
          <w:tcPr>
            <w:tcW w:w="1192" w:type="dxa"/>
            <w:gridSpan w:val="2"/>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hint="eastAsia" w:ascii="宋体" w:eastAsia="宋体"/>
                <w:color w:val="000000"/>
                <w:sz w:val="24"/>
                <w:lang w:val="en-US" w:eastAsia="zh-CN"/>
              </w:rPr>
            </w:pPr>
            <w:r>
              <w:rPr>
                <w:rFonts w:hint="eastAsia" w:ascii="宋体"/>
                <w:color w:val="000000"/>
                <w:sz w:val="24"/>
                <w:lang w:val="en-US" w:eastAsia="zh-CN"/>
              </w:rPr>
              <w:t>2</w:t>
            </w:r>
          </w:p>
        </w:tc>
        <w:tc>
          <w:tcPr>
            <w:tcW w:w="2262" w:type="dxa"/>
            <w:gridSpan w:val="3"/>
            <w:noWrap w:val="0"/>
            <w:vAlign w:val="top"/>
          </w:tcPr>
          <w:p w14:paraId="0B6DB704">
            <w:pPr>
              <w:spacing w:line="360" w:lineRule="auto"/>
              <w:rPr>
                <w:rFonts w:hint="default" w:ascii="宋体" w:eastAsia="宋体"/>
                <w:color w:val="000000"/>
                <w:sz w:val="24"/>
                <w:lang w:val="en-US" w:eastAsia="zh-CN"/>
              </w:rPr>
            </w:pPr>
            <w:r>
              <w:rPr>
                <w:rFonts w:hint="eastAsia" w:ascii="宋体"/>
                <w:color w:val="000000"/>
                <w:sz w:val="24"/>
                <w:lang w:val="en-US" w:eastAsia="zh-CN"/>
              </w:rPr>
              <w:t>公寓椅</w:t>
            </w: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963" w:type="dxa"/>
            <w:noWrap w:val="0"/>
            <w:vAlign w:val="top"/>
          </w:tcPr>
          <w:p w14:paraId="34D72D5A">
            <w:pPr>
              <w:spacing w:line="360" w:lineRule="auto"/>
              <w:rPr>
                <w:rFonts w:hint="default" w:ascii="宋体" w:eastAsia="宋体"/>
                <w:color w:val="000000"/>
                <w:sz w:val="24"/>
                <w:lang w:val="en-US" w:eastAsia="zh-CN"/>
              </w:rPr>
            </w:pPr>
            <w:r>
              <w:rPr>
                <w:rFonts w:hint="eastAsia" w:ascii="宋体"/>
                <w:color w:val="000000"/>
                <w:sz w:val="24"/>
                <w:lang w:val="en-US" w:eastAsia="zh-CN"/>
              </w:rPr>
              <w:t>1804</w:t>
            </w:r>
          </w:p>
        </w:tc>
        <w:tc>
          <w:tcPr>
            <w:tcW w:w="976" w:type="dxa"/>
            <w:gridSpan w:val="2"/>
            <w:noWrap w:val="0"/>
            <w:vAlign w:val="top"/>
          </w:tcPr>
          <w:p w14:paraId="76982E7A">
            <w:pPr>
              <w:spacing w:line="360" w:lineRule="auto"/>
              <w:rPr>
                <w:rFonts w:ascii="宋体"/>
                <w:color w:val="000000"/>
                <w:sz w:val="24"/>
              </w:rPr>
            </w:pPr>
          </w:p>
        </w:tc>
        <w:tc>
          <w:tcPr>
            <w:tcW w:w="1191" w:type="dxa"/>
            <w:gridSpan w:val="2"/>
            <w:noWrap w:val="0"/>
            <w:vAlign w:val="top"/>
          </w:tcPr>
          <w:p w14:paraId="7C5E4B02">
            <w:pPr>
              <w:spacing w:line="360" w:lineRule="auto"/>
              <w:rPr>
                <w:rFonts w:ascii="宋体"/>
                <w:color w:val="000000"/>
                <w:sz w:val="24"/>
              </w:rPr>
            </w:pPr>
          </w:p>
        </w:tc>
        <w:tc>
          <w:tcPr>
            <w:tcW w:w="1192" w:type="dxa"/>
            <w:gridSpan w:val="2"/>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963" w:type="dxa"/>
            <w:noWrap w:val="0"/>
            <w:vAlign w:val="top"/>
          </w:tcPr>
          <w:p w14:paraId="51A6C93B">
            <w:pPr>
              <w:spacing w:line="360" w:lineRule="auto"/>
              <w:rPr>
                <w:rFonts w:ascii="宋体"/>
                <w:color w:val="000000"/>
                <w:sz w:val="24"/>
              </w:rPr>
            </w:pPr>
          </w:p>
        </w:tc>
        <w:tc>
          <w:tcPr>
            <w:tcW w:w="976" w:type="dxa"/>
            <w:gridSpan w:val="2"/>
            <w:noWrap w:val="0"/>
            <w:vAlign w:val="top"/>
          </w:tcPr>
          <w:p w14:paraId="52A7DB76">
            <w:pPr>
              <w:spacing w:line="360" w:lineRule="auto"/>
              <w:rPr>
                <w:rFonts w:ascii="宋体"/>
                <w:color w:val="000000"/>
                <w:sz w:val="24"/>
              </w:rPr>
            </w:pPr>
          </w:p>
        </w:tc>
        <w:tc>
          <w:tcPr>
            <w:tcW w:w="1191" w:type="dxa"/>
            <w:gridSpan w:val="2"/>
            <w:noWrap w:val="0"/>
            <w:vAlign w:val="top"/>
          </w:tcPr>
          <w:p w14:paraId="3C83CC51">
            <w:pPr>
              <w:spacing w:line="360" w:lineRule="auto"/>
              <w:rPr>
                <w:rFonts w:ascii="宋体"/>
                <w:color w:val="000000"/>
                <w:sz w:val="24"/>
              </w:rPr>
            </w:pPr>
          </w:p>
        </w:tc>
        <w:tc>
          <w:tcPr>
            <w:tcW w:w="1192" w:type="dxa"/>
            <w:gridSpan w:val="2"/>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963" w:type="dxa"/>
            <w:noWrap w:val="0"/>
            <w:vAlign w:val="top"/>
          </w:tcPr>
          <w:p w14:paraId="5AC12D73">
            <w:pPr>
              <w:spacing w:line="360" w:lineRule="auto"/>
              <w:rPr>
                <w:rFonts w:ascii="宋体"/>
                <w:color w:val="000000"/>
                <w:sz w:val="24"/>
              </w:rPr>
            </w:pPr>
          </w:p>
        </w:tc>
        <w:tc>
          <w:tcPr>
            <w:tcW w:w="976" w:type="dxa"/>
            <w:gridSpan w:val="2"/>
            <w:noWrap w:val="0"/>
            <w:vAlign w:val="top"/>
          </w:tcPr>
          <w:p w14:paraId="5E0A1891">
            <w:pPr>
              <w:spacing w:line="360" w:lineRule="auto"/>
              <w:rPr>
                <w:rFonts w:ascii="宋体"/>
                <w:color w:val="000000"/>
                <w:sz w:val="24"/>
              </w:rPr>
            </w:pPr>
          </w:p>
        </w:tc>
        <w:tc>
          <w:tcPr>
            <w:tcW w:w="1191" w:type="dxa"/>
            <w:gridSpan w:val="2"/>
            <w:noWrap w:val="0"/>
            <w:vAlign w:val="top"/>
          </w:tcPr>
          <w:p w14:paraId="4D88A738">
            <w:pPr>
              <w:spacing w:line="360" w:lineRule="auto"/>
              <w:rPr>
                <w:rFonts w:ascii="宋体"/>
                <w:color w:val="000000"/>
                <w:sz w:val="24"/>
              </w:rPr>
            </w:pPr>
          </w:p>
        </w:tc>
        <w:tc>
          <w:tcPr>
            <w:tcW w:w="1192" w:type="dxa"/>
            <w:gridSpan w:val="2"/>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963" w:type="dxa"/>
            <w:noWrap w:val="0"/>
            <w:vAlign w:val="top"/>
          </w:tcPr>
          <w:p w14:paraId="3DE809CA">
            <w:pPr>
              <w:spacing w:line="360" w:lineRule="auto"/>
              <w:rPr>
                <w:rFonts w:ascii="宋体"/>
                <w:color w:val="000000"/>
                <w:sz w:val="24"/>
              </w:rPr>
            </w:pPr>
          </w:p>
        </w:tc>
        <w:tc>
          <w:tcPr>
            <w:tcW w:w="976" w:type="dxa"/>
            <w:gridSpan w:val="2"/>
            <w:noWrap w:val="0"/>
            <w:vAlign w:val="top"/>
          </w:tcPr>
          <w:p w14:paraId="5C8B1A1A">
            <w:pPr>
              <w:spacing w:line="360" w:lineRule="auto"/>
              <w:rPr>
                <w:rFonts w:ascii="宋体"/>
                <w:color w:val="000000"/>
                <w:sz w:val="24"/>
              </w:rPr>
            </w:pPr>
          </w:p>
        </w:tc>
        <w:tc>
          <w:tcPr>
            <w:tcW w:w="1191" w:type="dxa"/>
            <w:gridSpan w:val="2"/>
            <w:noWrap w:val="0"/>
            <w:vAlign w:val="top"/>
          </w:tcPr>
          <w:p w14:paraId="1D712154">
            <w:pPr>
              <w:spacing w:line="360" w:lineRule="auto"/>
              <w:rPr>
                <w:rFonts w:ascii="宋体"/>
                <w:color w:val="000000"/>
                <w:sz w:val="24"/>
              </w:rPr>
            </w:pPr>
          </w:p>
        </w:tc>
        <w:tc>
          <w:tcPr>
            <w:tcW w:w="1192" w:type="dxa"/>
            <w:gridSpan w:val="2"/>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963" w:type="dxa"/>
            <w:noWrap w:val="0"/>
            <w:vAlign w:val="top"/>
          </w:tcPr>
          <w:p w14:paraId="25E5F3FE">
            <w:pPr>
              <w:spacing w:line="360" w:lineRule="auto"/>
              <w:rPr>
                <w:rFonts w:ascii="宋体"/>
                <w:color w:val="000000"/>
                <w:sz w:val="24"/>
              </w:rPr>
            </w:pPr>
          </w:p>
        </w:tc>
        <w:tc>
          <w:tcPr>
            <w:tcW w:w="976" w:type="dxa"/>
            <w:gridSpan w:val="2"/>
            <w:noWrap w:val="0"/>
            <w:vAlign w:val="top"/>
          </w:tcPr>
          <w:p w14:paraId="4E053636">
            <w:pPr>
              <w:spacing w:line="360" w:lineRule="auto"/>
              <w:rPr>
                <w:rFonts w:ascii="宋体"/>
                <w:color w:val="000000"/>
                <w:sz w:val="24"/>
              </w:rPr>
            </w:pPr>
          </w:p>
        </w:tc>
        <w:tc>
          <w:tcPr>
            <w:tcW w:w="1191" w:type="dxa"/>
            <w:gridSpan w:val="2"/>
            <w:noWrap w:val="0"/>
            <w:vAlign w:val="top"/>
          </w:tcPr>
          <w:p w14:paraId="039DBE8D">
            <w:pPr>
              <w:spacing w:line="360" w:lineRule="auto"/>
              <w:rPr>
                <w:rFonts w:ascii="宋体"/>
                <w:color w:val="000000"/>
                <w:sz w:val="24"/>
              </w:rPr>
            </w:pPr>
          </w:p>
        </w:tc>
        <w:tc>
          <w:tcPr>
            <w:tcW w:w="1192" w:type="dxa"/>
            <w:gridSpan w:val="2"/>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4"/>
            <w:noWrap w:val="0"/>
            <w:vAlign w:val="center"/>
          </w:tcPr>
          <w:p w14:paraId="11AAEF9A">
            <w:pPr>
              <w:spacing w:line="360" w:lineRule="auto"/>
              <w:jc w:val="center"/>
              <w:rPr>
                <w:rFonts w:ascii="宋体"/>
                <w:b/>
                <w:color w:val="000000"/>
                <w:sz w:val="24"/>
              </w:rPr>
            </w:pPr>
          </w:p>
        </w:tc>
        <w:tc>
          <w:tcPr>
            <w:tcW w:w="1192" w:type="dxa"/>
            <w:gridSpan w:val="2"/>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522" w:type="dxa"/>
            <w:gridSpan w:val="3"/>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4"/>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4"/>
        <w:rPr>
          <w:rFonts w:ascii="宋体" w:hAnsi="宋体"/>
          <w:color w:val="000000"/>
          <w:spacing w:val="4"/>
          <w:sz w:val="24"/>
        </w:rPr>
      </w:pPr>
    </w:p>
    <w:p w14:paraId="3000A94E">
      <w:pPr>
        <w:pStyle w:val="4"/>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8"/>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5"/>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4"/>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4"/>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4"/>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4"/>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4"/>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4"/>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4"/>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4"/>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4"/>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4"/>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4"/>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4"/>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4"/>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6"/>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4"/>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5BF3922C">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4"/>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4"/>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3"/>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8"/>
        <w:spacing w:line="290" w:lineRule="auto"/>
      </w:pPr>
    </w:p>
    <w:p w14:paraId="706A40CC">
      <w:pPr>
        <w:pStyle w:val="8"/>
        <w:spacing w:line="290" w:lineRule="auto"/>
      </w:pPr>
    </w:p>
    <w:p w14:paraId="2A0EDADA">
      <w:pPr>
        <w:pStyle w:val="8"/>
        <w:spacing w:line="291" w:lineRule="auto"/>
      </w:pPr>
    </w:p>
    <w:p w14:paraId="055BD1E0">
      <w:pPr>
        <w:pStyle w:val="8"/>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8"/>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8"/>
        <w:spacing w:line="252" w:lineRule="auto"/>
      </w:pPr>
    </w:p>
    <w:p w14:paraId="0D43D8A4">
      <w:pPr>
        <w:pStyle w:val="8"/>
        <w:spacing w:line="252" w:lineRule="auto"/>
      </w:pPr>
    </w:p>
    <w:p w14:paraId="1730861F">
      <w:pPr>
        <w:pStyle w:val="8"/>
        <w:spacing w:line="252" w:lineRule="auto"/>
      </w:pPr>
    </w:p>
    <w:p w14:paraId="20B5014A">
      <w:pPr>
        <w:pStyle w:val="8"/>
        <w:spacing w:line="252" w:lineRule="auto"/>
      </w:pPr>
    </w:p>
    <w:p w14:paraId="0EAE02E5">
      <w:pPr>
        <w:pStyle w:val="8"/>
        <w:spacing w:line="253" w:lineRule="auto"/>
      </w:pPr>
    </w:p>
    <w:p w14:paraId="36A269F1">
      <w:pPr>
        <w:pStyle w:val="8"/>
        <w:spacing w:line="253" w:lineRule="auto"/>
      </w:pPr>
    </w:p>
    <w:p w14:paraId="66E41182">
      <w:pPr>
        <w:pStyle w:val="8"/>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4"/>
        <w:rPr>
          <w:color w:val="000000"/>
        </w:rPr>
      </w:pPr>
    </w:p>
    <w:p w14:paraId="6B1BB233">
      <w:pPr>
        <w:pStyle w:val="4"/>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8"/>
        <w:spacing w:line="317" w:lineRule="auto"/>
      </w:pPr>
    </w:p>
    <w:p w14:paraId="4BC8FFC7">
      <w:pPr>
        <w:pStyle w:val="8"/>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8"/>
        <w:spacing w:line="243" w:lineRule="auto"/>
      </w:pPr>
    </w:p>
    <w:p w14:paraId="0F4899D9">
      <w:pPr>
        <w:pStyle w:val="8"/>
        <w:spacing w:line="243" w:lineRule="auto"/>
      </w:pPr>
    </w:p>
    <w:p w14:paraId="6F5CD372">
      <w:pPr>
        <w:pStyle w:val="8"/>
        <w:spacing w:line="244" w:lineRule="auto"/>
      </w:pPr>
    </w:p>
    <w:p w14:paraId="3A6C0E0D">
      <w:pPr>
        <w:pStyle w:val="8"/>
        <w:spacing w:line="244" w:lineRule="auto"/>
      </w:pPr>
    </w:p>
    <w:p w14:paraId="43C5FA5E">
      <w:pPr>
        <w:pStyle w:val="8"/>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8"/>
        <w:spacing w:line="244" w:lineRule="auto"/>
      </w:pPr>
    </w:p>
    <w:p w14:paraId="3A5556BC">
      <w:pPr>
        <w:pStyle w:val="8"/>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5"/>
        <w:rPr>
          <w:rFonts w:ascii="宋体" w:hAnsi="宋体" w:eastAsia="宋体" w:cs="宋体"/>
          <w:spacing w:val="-10"/>
          <w:sz w:val="28"/>
          <w:szCs w:val="28"/>
        </w:rPr>
      </w:pPr>
    </w:p>
    <w:p w14:paraId="1E182950">
      <w:pPr>
        <w:pStyle w:val="4"/>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7"/>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7"/>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7"/>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5"/>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3"/>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F9B92"/>
    <w:multiLevelType w:val="singleLevel"/>
    <w:tmpl w:val="A5EF9B92"/>
    <w:lvl w:ilvl="0" w:tentative="0">
      <w:start w:val="3"/>
      <w:numFmt w:val="chineseCounting"/>
      <w:suff w:val="nothing"/>
      <w:lvlText w:val="%1、"/>
      <w:lvlJc w:val="left"/>
      <w:rPr>
        <w:rFonts w:hint="eastAsia"/>
      </w:rPr>
    </w:lvl>
  </w:abstractNum>
  <w:abstractNum w:abstractNumId="1">
    <w:nsid w:val="FF7B9EBC"/>
    <w:multiLevelType w:val="singleLevel"/>
    <w:tmpl w:val="FF7B9EBC"/>
    <w:lvl w:ilvl="0" w:tentative="0">
      <w:start w:val="20"/>
      <w:numFmt w:val="decimal"/>
      <w:suff w:val="nothing"/>
      <w:lvlText w:val="%1、"/>
      <w:lvlJc w:val="left"/>
    </w:lvl>
  </w:abstractNum>
  <w:abstractNum w:abstractNumId="2">
    <w:nsid w:val="34414E19"/>
    <w:multiLevelType w:val="singleLevel"/>
    <w:tmpl w:val="34414E1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82765"/>
    <w:rsid w:val="02597332"/>
    <w:rsid w:val="0273010D"/>
    <w:rsid w:val="02C34648"/>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A5554"/>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CF2B9C"/>
    <w:rsid w:val="26F90805"/>
    <w:rsid w:val="27181100"/>
    <w:rsid w:val="27202030"/>
    <w:rsid w:val="2720486E"/>
    <w:rsid w:val="272950BB"/>
    <w:rsid w:val="27397933"/>
    <w:rsid w:val="275444B5"/>
    <w:rsid w:val="28700AC7"/>
    <w:rsid w:val="28981DC0"/>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44619"/>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2714D7"/>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269F"/>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B469B0"/>
    <w:rsid w:val="65DB3287"/>
    <w:rsid w:val="65E5203E"/>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C64170E"/>
    <w:rsid w:val="6D95791B"/>
    <w:rsid w:val="6E041C4E"/>
    <w:rsid w:val="6F913427"/>
    <w:rsid w:val="6FDD7144"/>
    <w:rsid w:val="70281CF1"/>
    <w:rsid w:val="70B34FC2"/>
    <w:rsid w:val="71294FA1"/>
    <w:rsid w:val="715B3296"/>
    <w:rsid w:val="71716B9F"/>
    <w:rsid w:val="71885DD2"/>
    <w:rsid w:val="71D72C0E"/>
    <w:rsid w:val="71E219F3"/>
    <w:rsid w:val="72224E32"/>
    <w:rsid w:val="72370CB6"/>
    <w:rsid w:val="72963BA6"/>
    <w:rsid w:val="729907F9"/>
    <w:rsid w:val="72C47013"/>
    <w:rsid w:val="732B25B2"/>
    <w:rsid w:val="73557ED4"/>
    <w:rsid w:val="73CC7AC9"/>
    <w:rsid w:val="747554DC"/>
    <w:rsid w:val="74D63C4F"/>
    <w:rsid w:val="74E90FB2"/>
    <w:rsid w:val="753A571A"/>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2088A"/>
    <w:rsid w:val="7B952B1A"/>
    <w:rsid w:val="7BBA0E17"/>
    <w:rsid w:val="7C0204A3"/>
    <w:rsid w:val="7C5807CC"/>
    <w:rsid w:val="7C6A78A5"/>
    <w:rsid w:val="7C807AD4"/>
    <w:rsid w:val="7D546E14"/>
    <w:rsid w:val="7D783DA2"/>
    <w:rsid w:val="7E0D28D9"/>
    <w:rsid w:val="7E643478"/>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4"/>
    <w:autoRedefine/>
    <w:unhideWhenUsed/>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autoRedefine/>
    <w:qFormat/>
    <w:uiPriority w:val="0"/>
    <w:pPr>
      <w:ind w:firstLine="420"/>
    </w:pPr>
    <w:rPr>
      <w:szCs w:val="20"/>
    </w:rPr>
  </w:style>
  <w:style w:type="paragraph" w:styleId="7">
    <w:name w:val="annotation text"/>
    <w:basedOn w:val="1"/>
    <w:link w:val="29"/>
    <w:autoRedefine/>
    <w:unhideWhenUsed/>
    <w:qFormat/>
    <w:uiPriority w:val="99"/>
    <w:pPr>
      <w:jc w:val="left"/>
    </w:pPr>
    <w:rPr>
      <w:szCs w:val="21"/>
    </w:rPr>
  </w:style>
  <w:style w:type="paragraph" w:styleId="8">
    <w:name w:val="Body Text"/>
    <w:basedOn w:val="1"/>
    <w:next w:val="9"/>
    <w:link w:val="25"/>
    <w:autoRedefine/>
    <w:qFormat/>
    <w:uiPriority w:val="0"/>
    <w:pPr>
      <w:snapToGrid w:val="0"/>
      <w:spacing w:before="120" w:after="120" w:line="360" w:lineRule="auto"/>
    </w:pPr>
    <w:rPr>
      <w:rFonts w:ascii="宋体" w:hAnsi="宋体"/>
      <w:sz w:val="24"/>
      <w:szCs w:val="20"/>
    </w:rPr>
  </w:style>
  <w:style w:type="paragraph" w:customStyle="1" w:styleId="9">
    <w:name w:val="Default"/>
    <w:next w:val="10"/>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Plain Text"/>
    <w:basedOn w:val="1"/>
    <w:link w:val="26"/>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pPr>
      <w:spacing w:beforeAutospacing="1" w:afterAutospacing="1"/>
      <w:jc w:val="left"/>
    </w:pPr>
    <w:rPr>
      <w:rFonts w:ascii="Calibri" w:hAnsi="Calibri"/>
      <w:kern w:val="0"/>
      <w:sz w:val="24"/>
    </w:rPr>
  </w:style>
  <w:style w:type="paragraph" w:styleId="15">
    <w:name w:val="Body Text First Indent"/>
    <w:basedOn w:val="8"/>
    <w:autoRedefine/>
    <w:qFormat/>
    <w:uiPriority w:val="99"/>
    <w:pPr>
      <w:ind w:firstLine="420" w:firstLineChars="100"/>
    </w:p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autoRedefine/>
    <w:qFormat/>
    <w:uiPriority w:val="0"/>
    <w:rPr>
      <w:rFonts w:ascii="Times New Roman" w:hAnsi="Times New Roman" w:eastAsia="宋体" w:cs="Times New Roman"/>
    </w:rPr>
  </w:style>
  <w:style w:type="character" w:styleId="21">
    <w:name w:val="Hyperlink"/>
    <w:basedOn w:val="18"/>
    <w:autoRedefine/>
    <w:unhideWhenUsed/>
    <w:qFormat/>
    <w:uiPriority w:val="99"/>
    <w:rPr>
      <w:color w:val="0000FF"/>
      <w:u w:val="single"/>
    </w:rPr>
  </w:style>
  <w:style w:type="paragraph" w:customStyle="1" w:styleId="22">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3">
    <w:name w:val="Char1"/>
    <w:basedOn w:val="1"/>
    <w:autoRedefine/>
    <w:qFormat/>
    <w:uiPriority w:val="0"/>
  </w:style>
  <w:style w:type="character" w:customStyle="1" w:styleId="24">
    <w:name w:val="标题 3 字符"/>
    <w:link w:val="5"/>
    <w:autoRedefine/>
    <w:semiHidden/>
    <w:qFormat/>
    <w:uiPriority w:val="0"/>
    <w:rPr>
      <w:b/>
      <w:bCs/>
      <w:kern w:val="2"/>
      <w:sz w:val="32"/>
      <w:szCs w:val="32"/>
    </w:rPr>
  </w:style>
  <w:style w:type="character" w:customStyle="1" w:styleId="25">
    <w:name w:val="正文文本 字符"/>
    <w:link w:val="8"/>
    <w:autoRedefine/>
    <w:qFormat/>
    <w:uiPriority w:val="0"/>
    <w:rPr>
      <w:rFonts w:ascii="宋体" w:hAnsi="宋体"/>
      <w:kern w:val="2"/>
      <w:sz w:val="24"/>
    </w:rPr>
  </w:style>
  <w:style w:type="character" w:customStyle="1" w:styleId="26">
    <w:name w:val="纯文本 字符"/>
    <w:link w:val="11"/>
    <w:autoRedefine/>
    <w:qFormat/>
    <w:uiPriority w:val="0"/>
    <w:rPr>
      <w:rFonts w:ascii="宋体" w:hAnsi="Courier New"/>
      <w:kern w:val="2"/>
      <w:sz w:val="21"/>
    </w:rPr>
  </w:style>
  <w:style w:type="paragraph" w:customStyle="1" w:styleId="27">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8">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批注文字 字符"/>
    <w:basedOn w:val="18"/>
    <w:link w:val="7"/>
    <w:autoRedefine/>
    <w:qFormat/>
    <w:uiPriority w:val="99"/>
    <w:rPr>
      <w:kern w:val="2"/>
      <w:sz w:val="21"/>
      <w:szCs w:val="21"/>
    </w:rPr>
  </w:style>
  <w:style w:type="character" w:customStyle="1" w:styleId="30">
    <w:name w:val="15"/>
    <w:basedOn w:val="18"/>
    <w:autoRedefine/>
    <w:qFormat/>
    <w:uiPriority w:val="0"/>
    <w:rPr>
      <w:rFonts w:hint="eastAsia" w:ascii="宋体" w:hAnsi="宋体" w:eastAsia="宋体"/>
      <w:color w:val="000000"/>
      <w:sz w:val="20"/>
      <w:szCs w:val="20"/>
    </w:rPr>
  </w:style>
  <w:style w:type="paragraph" w:customStyle="1" w:styleId="31">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PlainText"/>
    <w:basedOn w:val="1"/>
    <w:autoRedefine/>
    <w:qFormat/>
    <w:uiPriority w:val="0"/>
    <w:rPr>
      <w:rFonts w:ascii="宋体" w:hAnsi="Courier New"/>
      <w:szCs w:val="21"/>
    </w:rPr>
  </w:style>
  <w:style w:type="paragraph" w:customStyle="1" w:styleId="3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4">
    <w:name w:val="Table Text"/>
    <w:basedOn w:val="1"/>
    <w:autoRedefine/>
    <w:semiHidden/>
    <w:qFormat/>
    <w:uiPriority w:val="0"/>
    <w:rPr>
      <w:rFonts w:ascii="宋体" w:hAnsi="宋体" w:eastAsia="宋体" w:cs="宋体"/>
      <w:sz w:val="24"/>
      <w:szCs w:val="24"/>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正文"/>
    <w:basedOn w:val="1"/>
    <w:qFormat/>
    <w:uiPriority w:val="0"/>
    <w:pPr>
      <w:jc w:val="left"/>
    </w:pPr>
    <w:rPr>
      <w:rFonts w:ascii="宋体" w:hAnsi="宋体"/>
      <w:kern w:val="0"/>
      <w:sz w:val="24"/>
      <w:lang w:val="zh-CN" w:eastAsia="zh-CN"/>
    </w:rPr>
  </w:style>
  <w:style w:type="paragraph" w:customStyle="1" w:styleId="37">
    <w:name w:val="正文_0"/>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1475</Words>
  <Characters>1742</Characters>
  <Lines>134</Lines>
  <Paragraphs>37</Paragraphs>
  <TotalTime>81</TotalTime>
  <ScaleCrop>false</ScaleCrop>
  <LinksUpToDate>false</LinksUpToDate>
  <CharactersWithSpaces>1766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2024-12-17T05:56:00Z</cp:lastPrinted>
  <dcterms:modified xsi:type="dcterms:W3CDTF">2024-12-17T06:42:51Z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9BD7CCDBC0214F859707A4BAA7C81BD2_13</vt:lpwstr>
  </property>
</Properties>
</file>