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48"/>
          <w:szCs w:val="48"/>
        </w:rPr>
      </w:pPr>
    </w:p>
    <w:p>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南通理工学院西地块铝合金阳台</w:t>
      </w:r>
      <w:r>
        <w:rPr>
          <w:rFonts w:hint="eastAsia" w:ascii="宋体" w:hAnsi="宋体" w:eastAsia="宋体" w:cs="宋体"/>
          <w:b/>
          <w:bCs/>
          <w:sz w:val="36"/>
          <w:szCs w:val="36"/>
          <w:lang w:val="en-US" w:eastAsia="zh-CN"/>
        </w:rPr>
        <w:t>玻璃</w:t>
      </w:r>
      <w:r>
        <w:rPr>
          <w:rFonts w:hint="eastAsia" w:ascii="宋体" w:hAnsi="宋体" w:eastAsia="宋体" w:cs="宋体"/>
          <w:b/>
          <w:bCs/>
          <w:sz w:val="36"/>
          <w:szCs w:val="36"/>
        </w:rPr>
        <w:t>栏杆</w:t>
      </w:r>
    </w:p>
    <w:p>
      <w:pPr>
        <w:spacing w:line="360" w:lineRule="auto"/>
        <w:jc w:val="center"/>
        <w:rPr>
          <w:rFonts w:ascii="宋体" w:hAnsi="宋体" w:eastAsia="宋体" w:cs="宋体"/>
          <w:b/>
          <w:bCs/>
          <w:sz w:val="36"/>
          <w:szCs w:val="36"/>
        </w:rPr>
      </w:pPr>
      <w:r>
        <w:rPr>
          <w:rFonts w:hint="eastAsia" w:ascii="宋体" w:hAnsi="宋体" w:eastAsia="宋体" w:cs="宋体"/>
          <w:b/>
          <w:bCs/>
          <w:sz w:val="36"/>
          <w:szCs w:val="36"/>
        </w:rPr>
        <w:t>招标文件</w:t>
      </w:r>
    </w:p>
    <w:p>
      <w:pPr>
        <w:jc w:val="center"/>
        <w:rPr>
          <w:rFonts w:ascii="宋体" w:hAnsi="宋体" w:cs="宋体"/>
          <w:sz w:val="24"/>
          <w:szCs w:val="24"/>
        </w:rPr>
      </w:pPr>
      <w:r>
        <w:rPr>
          <w:rFonts w:hint="eastAsia" w:ascii="宋体" w:hAnsi="宋体" w:cs="宋体"/>
          <w:sz w:val="24"/>
          <w:szCs w:val="24"/>
        </w:rPr>
        <w:t xml:space="preserve">                                        </w:t>
      </w:r>
    </w:p>
    <w:p>
      <w:pPr>
        <w:jc w:val="center"/>
        <w:rPr>
          <w:rFonts w:ascii="宋体" w:hAnsi="宋体" w:cs="宋体"/>
          <w:sz w:val="24"/>
          <w:szCs w:val="24"/>
        </w:rPr>
      </w:pPr>
      <w:r>
        <w:rPr>
          <w:rFonts w:hint="eastAsia" w:ascii="宋体" w:hAnsi="宋体" w:cs="宋体"/>
          <w:sz w:val="24"/>
          <w:szCs w:val="24"/>
        </w:rPr>
        <w:t xml:space="preserve">                                       招标编号：   ZJZB2023006</w:t>
      </w:r>
    </w:p>
    <w:p>
      <w:pPr>
        <w:jc w:val="center"/>
        <w:rPr>
          <w:rFonts w:ascii="宋体" w:hAnsi="宋体" w:cs="宋体"/>
          <w:sz w:val="24"/>
          <w:szCs w:val="24"/>
        </w:rPr>
      </w:pPr>
    </w:p>
    <w:p>
      <w:pPr>
        <w:jc w:val="center"/>
        <w:rPr>
          <w:rFonts w:ascii="宋体" w:hAnsi="宋体" w:cs="宋体"/>
          <w:sz w:val="24"/>
          <w:szCs w:val="24"/>
        </w:rPr>
      </w:pPr>
    </w:p>
    <w:p>
      <w:pPr>
        <w:jc w:val="center"/>
        <w:rPr>
          <w:rFonts w:ascii="宋体" w:hAnsi="宋体" w:cs="宋体"/>
          <w:sz w:val="24"/>
          <w:szCs w:val="24"/>
        </w:rPr>
      </w:pPr>
    </w:p>
    <w:p>
      <w:pPr>
        <w:jc w:val="center"/>
        <w:rPr>
          <w:rFonts w:ascii="宋体" w:hAnsi="宋体" w:cs="宋体"/>
          <w:sz w:val="24"/>
          <w:szCs w:val="24"/>
        </w:rPr>
      </w:pPr>
    </w:p>
    <w:p>
      <w:pPr>
        <w:jc w:val="center"/>
        <w:rPr>
          <w:rFonts w:ascii="宋体" w:hAnsi="宋体" w:cs="宋体"/>
          <w:sz w:val="24"/>
          <w:szCs w:val="24"/>
        </w:rPr>
      </w:pPr>
    </w:p>
    <w:p>
      <w:pPr>
        <w:jc w:val="center"/>
        <w:rPr>
          <w:rFonts w:ascii="宋体" w:hAnsi="宋体" w:cs="宋体"/>
          <w:sz w:val="24"/>
          <w:szCs w:val="24"/>
        </w:rPr>
      </w:pPr>
    </w:p>
    <w:p>
      <w:pPr>
        <w:jc w:val="center"/>
        <w:rPr>
          <w:rFonts w:ascii="宋体" w:hAnsi="宋体" w:cs="宋体"/>
          <w:b/>
          <w:bCs/>
          <w:sz w:val="32"/>
          <w:szCs w:val="32"/>
        </w:rPr>
      </w:pPr>
    </w:p>
    <w:p>
      <w:pPr>
        <w:jc w:val="center"/>
        <w:rPr>
          <w:rFonts w:ascii="宋体" w:hAnsi="宋体" w:cs="宋体"/>
          <w:b/>
          <w:bCs/>
          <w:sz w:val="32"/>
          <w:szCs w:val="32"/>
        </w:rPr>
      </w:pPr>
    </w:p>
    <w:p>
      <w:pPr>
        <w:jc w:val="both"/>
        <w:rPr>
          <w:rFonts w:ascii="宋体" w:hAnsi="宋体" w:cs="宋体"/>
          <w:b/>
          <w:bCs/>
          <w:sz w:val="32"/>
          <w:szCs w:val="32"/>
        </w:rPr>
      </w:pPr>
    </w:p>
    <w:p>
      <w:pPr>
        <w:ind w:left="2244" w:leftChars="290" w:hanging="1606" w:hangingChars="500"/>
        <w:rPr>
          <w:rFonts w:ascii="宋体" w:hAnsi="宋体" w:eastAsia="宋体" w:cs="宋体"/>
          <w:b/>
          <w:bCs/>
          <w:sz w:val="32"/>
          <w:szCs w:val="32"/>
        </w:rPr>
      </w:pPr>
      <w:r>
        <w:rPr>
          <w:rFonts w:hint="eastAsia" w:ascii="宋体" w:hAnsi="宋体" w:eastAsia="宋体" w:cs="宋体"/>
          <w:b/>
          <w:bCs/>
          <w:sz w:val="32"/>
          <w:szCs w:val="32"/>
        </w:rPr>
        <w:t>工程名称：南通理工学院西地块</w:t>
      </w:r>
      <w:r>
        <w:rPr>
          <w:rFonts w:hint="eastAsia" w:ascii="宋体" w:hAnsi="宋体" w:eastAsia="宋体" w:cs="宋体"/>
          <w:b/>
          <w:bCs/>
          <w:sz w:val="32"/>
          <w:szCs w:val="32"/>
          <w:lang w:val="en-US" w:eastAsia="zh-CN"/>
        </w:rPr>
        <w:t>阳台</w:t>
      </w:r>
      <w:r>
        <w:rPr>
          <w:rFonts w:hint="eastAsia" w:ascii="宋体" w:hAnsi="宋体" w:eastAsia="宋体" w:cs="宋体"/>
          <w:b/>
          <w:bCs/>
          <w:sz w:val="32"/>
          <w:szCs w:val="32"/>
        </w:rPr>
        <w:t>铝合金</w:t>
      </w:r>
      <w:r>
        <w:rPr>
          <w:rFonts w:hint="eastAsia" w:ascii="宋体" w:hAnsi="宋体" w:eastAsia="宋体" w:cs="宋体"/>
          <w:b/>
          <w:bCs/>
          <w:sz w:val="32"/>
          <w:szCs w:val="32"/>
          <w:lang w:val="en-US" w:eastAsia="zh-CN"/>
        </w:rPr>
        <w:t>玻璃栏杆</w:t>
      </w:r>
      <w:r>
        <w:rPr>
          <w:rFonts w:hint="eastAsia" w:ascii="宋体" w:hAnsi="宋体" w:eastAsia="宋体" w:cs="宋体"/>
          <w:b/>
          <w:bCs/>
          <w:sz w:val="32"/>
          <w:szCs w:val="32"/>
        </w:rPr>
        <w:t>招标</w:t>
      </w:r>
    </w:p>
    <w:p>
      <w:pPr>
        <w:ind w:firstLine="643" w:firstLineChars="200"/>
        <w:rPr>
          <w:rFonts w:ascii="宋体" w:hAnsi="宋体" w:eastAsia="宋体" w:cs="宋体"/>
          <w:b/>
          <w:bCs/>
          <w:sz w:val="32"/>
          <w:szCs w:val="32"/>
        </w:rPr>
      </w:pPr>
      <w:r>
        <w:rPr>
          <w:rFonts w:hint="eastAsia" w:ascii="宋体" w:hAnsi="宋体" w:eastAsia="宋体" w:cs="宋体"/>
          <w:b/>
          <w:bCs/>
          <w:sz w:val="32"/>
          <w:szCs w:val="32"/>
        </w:rPr>
        <w:t>工程地点：南通市崇川区永兴路211号</w:t>
      </w:r>
    </w:p>
    <w:p>
      <w:pPr>
        <w:ind w:firstLine="643" w:firstLineChars="200"/>
        <w:rPr>
          <w:rFonts w:ascii="宋体" w:hAnsi="宋体" w:eastAsia="宋体" w:cs="宋体"/>
          <w:b/>
          <w:bCs/>
          <w:sz w:val="32"/>
          <w:szCs w:val="32"/>
        </w:rPr>
      </w:pPr>
      <w:r>
        <w:rPr>
          <w:rFonts w:hint="eastAsia" w:ascii="宋体" w:hAnsi="宋体" w:eastAsia="宋体" w:cs="宋体"/>
          <w:b/>
          <w:bCs/>
          <w:sz w:val="32"/>
          <w:szCs w:val="32"/>
        </w:rPr>
        <w:t>招标单位：南通理工学院</w:t>
      </w:r>
    </w:p>
    <w:p>
      <w:pPr>
        <w:ind w:firstLine="643" w:firstLineChars="200"/>
        <w:rPr>
          <w:rFonts w:ascii="宋体" w:hAnsi="宋体" w:eastAsia="宋体" w:cs="宋体"/>
          <w:b/>
          <w:bCs/>
          <w:sz w:val="32"/>
          <w:szCs w:val="32"/>
        </w:rPr>
      </w:pPr>
      <w:r>
        <w:rPr>
          <w:rFonts w:hint="eastAsia" w:ascii="宋体" w:hAnsi="宋体" w:eastAsia="宋体" w:cs="宋体"/>
          <w:b/>
          <w:bCs/>
          <w:sz w:val="32"/>
          <w:szCs w:val="32"/>
        </w:rPr>
        <w:t>时    间：2023年4月24日</w:t>
      </w:r>
    </w:p>
    <w:p>
      <w:pPr>
        <w:jc w:val="center"/>
        <w:rPr>
          <w:rFonts w:ascii="宋体" w:hAnsi="宋体" w:cs="宋体"/>
          <w:b/>
          <w:bCs/>
          <w:sz w:val="32"/>
          <w:szCs w:val="32"/>
        </w:rPr>
      </w:pPr>
    </w:p>
    <w:p>
      <w:pPr>
        <w:jc w:val="cente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spacing w:line="760" w:lineRule="exact"/>
        <w:jc w:val="center"/>
        <w:rPr>
          <w:rFonts w:ascii="宋体" w:hAnsi="宋体" w:eastAsia="宋体" w:cs="宋体"/>
          <w:b/>
          <w:bCs/>
          <w:sz w:val="44"/>
          <w:szCs w:val="44"/>
        </w:rPr>
      </w:pPr>
    </w:p>
    <w:p>
      <w:pPr>
        <w:spacing w:line="760" w:lineRule="exact"/>
        <w:jc w:val="center"/>
        <w:rPr>
          <w:rFonts w:ascii="宋体" w:hAnsi="宋体" w:eastAsia="宋体" w:cs="宋体"/>
          <w:sz w:val="44"/>
          <w:szCs w:val="44"/>
        </w:rPr>
      </w:pPr>
      <w:r>
        <w:rPr>
          <w:rFonts w:hint="eastAsia" w:ascii="宋体" w:hAnsi="宋体" w:eastAsia="宋体" w:cs="宋体"/>
          <w:b/>
          <w:bCs/>
          <w:sz w:val="44"/>
          <w:szCs w:val="44"/>
        </w:rPr>
        <w:t>第一部分  采购邀请函</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一、南通理工学院南通理工学院南通校区西地块铝合金</w:t>
      </w:r>
      <w:r>
        <w:rPr>
          <w:rFonts w:hint="eastAsia" w:ascii="宋体" w:hAnsi="宋体" w:eastAsia="宋体" w:cs="宋体"/>
          <w:color w:val="000000"/>
          <w:sz w:val="24"/>
          <w:szCs w:val="24"/>
          <w:shd w:val="clear" w:color="auto" w:fill="FFFFFF"/>
          <w:lang w:val="en-US" w:eastAsia="zh-CN"/>
        </w:rPr>
        <w:t>玻璃栏杆</w:t>
      </w:r>
      <w:r>
        <w:rPr>
          <w:rFonts w:hint="eastAsia" w:ascii="宋体" w:hAnsi="宋体" w:eastAsia="宋体" w:cs="宋体"/>
          <w:color w:val="000000"/>
          <w:sz w:val="24"/>
          <w:szCs w:val="24"/>
          <w:shd w:val="clear" w:color="auto" w:fill="FFFFFF"/>
        </w:rPr>
        <w:t>招标施工进行公开招标，邀请合格的潜在投标人参加本工程的招标。</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二、工程概况:</w:t>
      </w:r>
    </w:p>
    <w:p>
      <w:pPr>
        <w:shd w:val="clear" w:color="auto" w:fill="FFFFFF"/>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（1）工程地点：南通理工学院南通</w:t>
      </w:r>
    </w:p>
    <w:p>
      <w:pPr>
        <w:shd w:val="clear" w:color="auto" w:fill="FFFFFF"/>
        <w:rPr>
          <w:rFonts w:ascii="宋体" w:hAnsi="宋体" w:eastAsia="宋体" w:cs="宋体"/>
          <w:sz w:val="24"/>
          <w:szCs w:val="24"/>
        </w:rPr>
      </w:pPr>
      <w:r>
        <w:rPr>
          <w:rFonts w:hint="eastAsia" w:ascii="宋体" w:hAnsi="宋体" w:eastAsia="宋体" w:cs="宋体"/>
          <w:color w:val="000000"/>
          <w:sz w:val="24"/>
          <w:szCs w:val="24"/>
          <w:shd w:val="clear" w:color="auto" w:fill="FFFFFF"/>
        </w:rPr>
        <w:t>（2）工程数量：铝合金阳台栏杆暂定150</w:t>
      </w:r>
      <w:bookmarkStart w:id="3" w:name="_GoBack"/>
      <w:bookmarkEnd w:id="3"/>
      <w:r>
        <w:rPr>
          <w:rFonts w:hint="eastAsia" w:ascii="宋体" w:hAnsi="宋体" w:eastAsia="宋体" w:cs="宋体"/>
          <w:color w:val="000000"/>
          <w:sz w:val="24"/>
          <w:szCs w:val="24"/>
          <w:shd w:val="clear" w:color="auto" w:fill="FFFFFF"/>
        </w:rPr>
        <w:t>0米。</w:t>
      </w:r>
    </w:p>
    <w:p>
      <w:pPr>
        <w:shd w:val="clear" w:color="auto" w:fill="FFFFFF"/>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（3）发包范围：南通理工学院西地块铝合金护栏、材料及尺寸详见附件及附图。</w:t>
      </w:r>
    </w:p>
    <w:p>
      <w:pPr>
        <w:shd w:val="clear" w:color="auto" w:fill="FFFFFF"/>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（4）计划安装工期:</w:t>
      </w:r>
      <w:r>
        <w:rPr>
          <w:rFonts w:hint="eastAsia" w:ascii="宋体" w:hAnsi="宋体" w:eastAsia="宋体" w:cs="宋体"/>
          <w:color w:val="000000"/>
          <w:sz w:val="24"/>
          <w:szCs w:val="24"/>
          <w:u w:val="single"/>
          <w:shd w:val="clear" w:color="auto" w:fill="FFFFFF"/>
        </w:rPr>
        <w:t xml:space="preserve"> 2023年5月15日至 2022年6月10日，施工总日期为25天</w:t>
      </w:r>
      <w:r>
        <w:rPr>
          <w:rFonts w:hint="eastAsia" w:ascii="宋体" w:hAnsi="宋体" w:eastAsia="宋体" w:cs="宋体"/>
          <w:color w:val="000000"/>
          <w:sz w:val="24"/>
          <w:szCs w:val="24"/>
          <w:shd w:val="clear" w:color="auto" w:fill="FFFFFF"/>
        </w:rPr>
        <w:t>。</w:t>
      </w:r>
    </w:p>
    <w:p>
      <w:pPr>
        <w:shd w:val="clear" w:color="auto" w:fill="FFFFFF"/>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（5）质量标准：</w:t>
      </w:r>
      <w:r>
        <w:rPr>
          <w:rFonts w:hint="eastAsia" w:ascii="宋体" w:hAnsi="宋体" w:eastAsia="宋体" w:cs="宋体"/>
          <w:color w:val="000000"/>
          <w:sz w:val="24"/>
          <w:szCs w:val="24"/>
          <w:u w:val="single"/>
          <w:shd w:val="clear" w:color="auto" w:fill="FFFFFF"/>
        </w:rPr>
        <w:t>一次性验收合格。</w:t>
      </w:r>
    </w:p>
    <w:p>
      <w:pPr>
        <w:shd w:val="clear" w:color="auto" w:fill="FFFFFF"/>
        <w:spacing w:line="400" w:lineRule="exact"/>
        <w:rPr>
          <w:rFonts w:ascii="宋体" w:hAnsi="宋体" w:eastAsia="宋体" w:cs="宋体"/>
          <w:b/>
          <w:color w:val="000000"/>
          <w:sz w:val="24"/>
          <w:szCs w:val="24"/>
        </w:rPr>
      </w:pPr>
      <w:r>
        <w:rPr>
          <w:rFonts w:hint="eastAsia" w:ascii="宋体" w:hAnsi="宋体" w:eastAsia="宋体" w:cs="宋体"/>
          <w:color w:val="000000"/>
          <w:sz w:val="24"/>
          <w:szCs w:val="24"/>
          <w:shd w:val="clear" w:color="auto" w:fill="FFFFFF"/>
        </w:rPr>
        <w:t>三、本次招标工程包括：南通理工学院南通校区铝合金阳台护栏、空调栏杆投标人按施工图纸要求进行报价，合同采用固定综合单价形式（投标报价中应包括但不限于材料的加工、制作安装、运费、税金、装卸、材料检验、施工、管理、维护</w:t>
      </w:r>
      <w:r>
        <w:rPr>
          <w:rFonts w:hint="eastAsia" w:ascii="宋体" w:hAnsi="宋体" w:eastAsia="宋体" w:cs="宋体"/>
          <w:color w:val="000000"/>
          <w:sz w:val="24"/>
          <w:szCs w:val="24"/>
          <w:shd w:val="clear" w:color="auto" w:fill="FFFFFF"/>
          <w:lang w:eastAsia="zh-CN"/>
        </w:rPr>
        <w:t>、</w:t>
      </w:r>
      <w:r>
        <w:rPr>
          <w:rFonts w:hint="eastAsia" w:ascii="宋体" w:hAnsi="宋体" w:eastAsia="宋体" w:cs="宋体"/>
          <w:color w:val="000000"/>
          <w:sz w:val="24"/>
          <w:szCs w:val="24"/>
          <w:shd w:val="clear" w:color="auto" w:fill="FFFFFF"/>
          <w:lang w:val="en-US" w:eastAsia="zh-CN"/>
        </w:rPr>
        <w:t>总包配合费（2%）</w:t>
      </w:r>
      <w:r>
        <w:rPr>
          <w:rFonts w:hint="eastAsia" w:ascii="宋体" w:hAnsi="宋体" w:eastAsia="宋体" w:cs="宋体"/>
          <w:color w:val="000000"/>
          <w:sz w:val="24"/>
          <w:szCs w:val="24"/>
          <w:shd w:val="clear" w:color="auto" w:fill="FFFFFF"/>
        </w:rPr>
        <w:t>等一切可能发生的费用），确保材料品质，施工质量。招标文件中需提供详细的供货及安装方案，及售后服务方案。</w:t>
      </w:r>
      <w:r>
        <w:rPr>
          <w:rFonts w:hint="eastAsia" w:ascii="宋体" w:hAnsi="宋体" w:eastAsia="宋体" w:cs="宋体"/>
          <w:sz w:val="24"/>
        </w:rPr>
        <w:t>所有投标文件都必须在封袋骑缝处以显著标志密封。</w:t>
      </w:r>
    </w:p>
    <w:p>
      <w:pPr>
        <w:shd w:val="clear" w:color="auto" w:fill="FFFFFF"/>
        <w:spacing w:line="400" w:lineRule="exact"/>
        <w:rPr>
          <w:rFonts w:ascii="宋体" w:hAnsi="宋体" w:eastAsia="宋体" w:cs="宋体"/>
          <w:b/>
          <w:bCs/>
          <w:color w:val="000000"/>
          <w:sz w:val="24"/>
          <w:szCs w:val="24"/>
        </w:rPr>
      </w:pPr>
      <w:r>
        <w:rPr>
          <w:rFonts w:hint="eastAsia" w:ascii="宋体" w:hAnsi="宋体" w:eastAsia="宋体" w:cs="宋体"/>
          <w:b/>
          <w:bCs/>
          <w:color w:val="000000"/>
          <w:sz w:val="24"/>
          <w:szCs w:val="24"/>
          <w:shd w:val="clear" w:color="auto" w:fill="FFFFFF"/>
        </w:rPr>
        <w:t>四、投标人资格要求：</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4.1凡具国内独立法人资格和承担民事责任能力的，有供货能力的制作厂商或经销商，且在本省行政区域内具有良好的业绩、在本地区设有方便的售后服务网点，有较佳的售后服务信誉，均可申请参加投标。</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4.2 以下条件属于资格审查的必要合格条件：</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（1）不接受联合体报名；</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（2）参加投标的施工单位必须具有独立法人资格和独立签订合同的能力；</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（3）未处于被责令停业、投标资格被取消或者财产被接管、冻结和破产状态。提供最新的国家企业信用信息报告(国家企业信用信息公示系统：</w:t>
      </w:r>
      <w:r>
        <w:fldChar w:fldCharType="begin"/>
      </w:r>
      <w:r>
        <w:instrText xml:space="preserve"> HYPERLINK "http://www.gsxt.gov.cn" </w:instrText>
      </w:r>
      <w:r>
        <w:fldChar w:fldCharType="separate"/>
      </w:r>
      <w:r>
        <w:rPr>
          <w:rStyle w:val="6"/>
          <w:rFonts w:hint="eastAsia" w:ascii="宋体" w:hAnsi="宋体" w:eastAsia="宋体" w:cs="宋体"/>
          <w:sz w:val="24"/>
          <w:szCs w:val="24"/>
          <w:shd w:val="clear" w:color="auto" w:fill="FFFFFF"/>
        </w:rPr>
        <w:t>www.gsxt.gov.cn</w:t>
      </w:r>
      <w:r>
        <w:rPr>
          <w:rStyle w:val="6"/>
          <w:rFonts w:hint="eastAsia" w:ascii="宋体" w:hAnsi="宋体" w:eastAsia="宋体" w:cs="宋体"/>
          <w:sz w:val="24"/>
          <w:szCs w:val="24"/>
          <w:shd w:val="clear" w:color="auto" w:fill="FFFFFF"/>
        </w:rPr>
        <w:fldChar w:fldCharType="end"/>
      </w:r>
      <w:r>
        <w:rPr>
          <w:rFonts w:hint="eastAsia" w:ascii="宋体" w:hAnsi="宋体" w:eastAsia="宋体" w:cs="宋体"/>
          <w:color w:val="000000"/>
          <w:sz w:val="24"/>
          <w:szCs w:val="24"/>
          <w:shd w:val="clear" w:color="auto" w:fill="FFFFFF"/>
        </w:rPr>
        <w:t>)。证明文件中的重要内容不能失实或者弄虚作假。</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（4）企业没有因骗取中标或者严重违约及发生重大工程质量、安全生产事故等违法违规问题，被有关部门暂停投标资格并在暂停期内的；</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（5）铝合金阳台护栏的生产厂商，注册资金不低于50万人民币；</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（6）近两年内具有单项合同金额不低于20万的供货及施工业绩，至少提供3个以上的合同案例；</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（7）委托代理人和拟派的项目负责人为企业正式人员，提供委托代理人和拟派项目负责人与投标企业双方签订的有效劳动合同书、 2022年 1 月至 2022年 12 月社会保险缴费记录；</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五、付款方式：工程竣工验收合格后付至合同暂定价的60%；验收合格六个月后付至工程结算价的95%；余下剩余5%作为质量保修金，质量保修金不计息，质量保修金（二年）到期后30天内一次性支付清。</w:t>
      </w:r>
    </w:p>
    <w:p>
      <w:pPr>
        <w:rPr>
          <w:rFonts w:ascii="宋体" w:hAnsi="宋体" w:eastAsia="宋体" w:cs="宋体"/>
          <w:sz w:val="24"/>
        </w:rPr>
      </w:pPr>
      <w:r>
        <w:rPr>
          <w:rFonts w:hint="eastAsia" w:ascii="宋体" w:hAnsi="宋体" w:eastAsia="宋体" w:cs="宋体"/>
          <w:color w:val="000000"/>
          <w:sz w:val="24"/>
          <w:szCs w:val="24"/>
          <w:shd w:val="clear" w:color="auto" w:fill="FFFFFF"/>
        </w:rPr>
        <w:t>六、投标保证金：人民币</w:t>
      </w:r>
      <w:r>
        <w:rPr>
          <w:rFonts w:hint="eastAsia" w:ascii="宋体" w:hAnsi="宋体" w:eastAsia="宋体" w:cs="宋体"/>
          <w:sz w:val="24"/>
          <w:u w:val="single"/>
        </w:rPr>
        <w:t>贰万</w:t>
      </w:r>
      <w:r>
        <w:rPr>
          <w:rFonts w:hint="eastAsia" w:ascii="宋体" w:hAnsi="宋体" w:eastAsia="宋体" w:cs="宋体"/>
          <w:sz w:val="24"/>
        </w:rPr>
        <w:t>元。中标单位交纳的保证金转为履约保证金，工程竣工验收后无利息退还；未中标单位交纳的投标保证金将等额无息退还。</w:t>
      </w:r>
    </w:p>
    <w:p>
      <w:pPr>
        <w:rPr>
          <w:rFonts w:ascii="宋体" w:hAnsi="宋体" w:eastAsia="宋体" w:cs="宋体"/>
          <w:b/>
          <w:sz w:val="24"/>
        </w:rPr>
      </w:pPr>
      <w:r>
        <w:rPr>
          <w:rFonts w:hint="eastAsia" w:ascii="宋体" w:hAnsi="宋体" w:eastAsia="宋体" w:cs="宋体"/>
          <w:b/>
          <w:sz w:val="24"/>
        </w:rPr>
        <w:t>南通理工学院账户信息如下：</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开户名：南通理工学院，</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统一社会信用代码：12320000724161141N</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账号：541758202529</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开户行：中行南通分行营业部</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行号：104306084105</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电话：0513-85606233</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地址：江苏省南通市崇川区永兴路211号。</w:t>
      </w:r>
    </w:p>
    <w:p>
      <w:pPr>
        <w:rPr>
          <w:rFonts w:ascii="宋体" w:hAnsi="宋体" w:eastAsia="宋体" w:cs="宋体"/>
          <w:sz w:val="24"/>
        </w:rPr>
      </w:pPr>
      <w:r>
        <w:rPr>
          <w:rFonts w:hint="eastAsia" w:ascii="宋体" w:hAnsi="宋体" w:eastAsia="宋体" w:cs="宋体"/>
          <w:sz w:val="24"/>
        </w:rPr>
        <w:t>七、招标文件售价：人民币200元（微信、递交投标文件时现场缴纳现金均可，</w:t>
      </w:r>
      <w:r>
        <w:rPr>
          <w:rFonts w:hint="eastAsia" w:ascii="宋体" w:hAnsi="宋体" w:eastAsia="宋体" w:cs="宋体"/>
          <w:color w:val="000000"/>
          <w:sz w:val="24"/>
          <w:szCs w:val="24"/>
        </w:rPr>
        <w:t>此费用不管中标与否将不予以退还。</w:t>
      </w:r>
      <w:r>
        <w:rPr>
          <w:rFonts w:hint="eastAsia" w:ascii="宋体" w:hAnsi="宋体" w:eastAsia="宋体" w:cs="宋体"/>
          <w:sz w:val="24"/>
        </w:rPr>
        <w:t>）</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rPr>
        <w:t>八：领取标书：投标人自行登录南通理工学院招标主页</w:t>
      </w:r>
      <w:r>
        <w:fldChar w:fldCharType="begin"/>
      </w:r>
      <w:r>
        <w:instrText xml:space="preserve"> HYPERLINK "http://www.ntit.edu.cn/3554" </w:instrText>
      </w:r>
      <w:r>
        <w:fldChar w:fldCharType="separate"/>
      </w:r>
      <w:r>
        <w:rPr>
          <w:rStyle w:val="6"/>
          <w:rFonts w:hint="eastAsia" w:ascii="宋体" w:hAnsi="宋体" w:eastAsia="宋体" w:cs="宋体"/>
          <w:sz w:val="24"/>
          <w:szCs w:val="24"/>
        </w:rPr>
        <w:t>www.ntit.edu.cn/3554</w:t>
      </w:r>
      <w:r>
        <w:rPr>
          <w:rStyle w:val="6"/>
          <w:rFonts w:hint="eastAsia" w:ascii="宋体" w:hAnsi="宋体" w:eastAsia="宋体" w:cs="宋体"/>
          <w:sz w:val="24"/>
          <w:szCs w:val="24"/>
        </w:rPr>
        <w:fldChar w:fldCharType="end"/>
      </w:r>
      <w:r>
        <w:rPr>
          <w:rFonts w:hint="eastAsia" w:ascii="宋体" w:hAnsi="宋体" w:eastAsia="宋体" w:cs="宋体"/>
          <w:color w:val="000000"/>
          <w:sz w:val="24"/>
          <w:szCs w:val="24"/>
        </w:rPr>
        <w:t>下载,报名中有任何疑问，请在工作时间与项目联系人联系。</w:t>
      </w:r>
    </w:p>
    <w:p>
      <w:pPr>
        <w:rPr>
          <w:rFonts w:ascii="宋体" w:hAnsi="宋体" w:eastAsia="宋体" w:cs="宋体"/>
          <w:sz w:val="24"/>
        </w:rPr>
      </w:pP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sz w:val="24"/>
        </w:rPr>
        <w:t>九、</w:t>
      </w:r>
      <w:r>
        <w:rPr>
          <w:rFonts w:hint="eastAsia" w:ascii="宋体" w:hAnsi="宋体" w:eastAsia="宋体" w:cs="宋体"/>
          <w:color w:val="000000"/>
          <w:sz w:val="24"/>
          <w:szCs w:val="24"/>
          <w:shd w:val="clear" w:color="auto" w:fill="FFFFFF"/>
        </w:rPr>
        <w:t>本工程投标人的资格审查采用资格后审方式，招标人不组织投标人对工程现场的集中踏勘。经评审的合理低价推荐为中标人。</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十、投标人需提供报价分析表。</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十一、投标文件递交的截止时间为 </w:t>
      </w:r>
      <w:r>
        <w:rPr>
          <w:rFonts w:hint="eastAsia" w:ascii="宋体" w:hAnsi="宋体" w:eastAsia="宋体" w:cs="宋体"/>
          <w:color w:val="000000"/>
          <w:sz w:val="24"/>
          <w:szCs w:val="24"/>
          <w:u w:val="single"/>
          <w:shd w:val="clear" w:color="auto" w:fill="FFFFFF"/>
        </w:rPr>
        <w:t>2023年4月27日15:00 时 </w:t>
      </w:r>
      <w:r>
        <w:rPr>
          <w:rFonts w:hint="eastAsia" w:ascii="宋体" w:hAnsi="宋体" w:eastAsia="宋体" w:cs="宋体"/>
          <w:color w:val="000000"/>
          <w:sz w:val="24"/>
          <w:szCs w:val="24"/>
          <w:shd w:val="clear" w:color="auto" w:fill="FFFFFF"/>
        </w:rPr>
        <w:t>，投标文件文本提交至南通理工学院行政楼210办公室。逾期送达的投标文件将被拒绝。</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十二、如发现投标人递交的资格后审材料有弄虚作假行为，该投标人将记入不良记录，并上报有关部门。如已中标，招标人有权取消其中标资格，并由该投标人承担一切责任和损失。</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rPr>
        <w:t>十二、招标人、联系人</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招标人：南通理工学院</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联系人： 桑老师：18351325767</w:t>
      </w:r>
    </w:p>
    <w:p>
      <w:pPr>
        <w:autoSpaceDE w:val="0"/>
        <w:spacing w:line="360" w:lineRule="exact"/>
        <w:ind w:firstLine="480" w:firstLineChars="200"/>
        <w:rPr>
          <w:rFonts w:ascii="宋体" w:hAnsi="宋体" w:cs="宋体"/>
          <w:sz w:val="24"/>
          <w:szCs w:val="24"/>
        </w:rPr>
      </w:pPr>
    </w:p>
    <w:p>
      <w:pPr>
        <w:spacing w:line="360" w:lineRule="exact"/>
        <w:ind w:firstLine="480" w:firstLineChars="200"/>
        <w:rPr>
          <w:rFonts w:ascii="宋体" w:hAnsi="宋体" w:cs="宋体"/>
          <w:b/>
          <w:sz w:val="24"/>
          <w:szCs w:val="24"/>
        </w:rPr>
      </w:pPr>
      <w:r>
        <w:rPr>
          <w:rFonts w:hint="eastAsia" w:ascii="宋体" w:hAnsi="宋体" w:cs="宋体"/>
          <w:b/>
          <w:sz w:val="24"/>
          <w:szCs w:val="24"/>
        </w:rPr>
        <w:t>友情提醒：</w:t>
      </w:r>
    </w:p>
    <w:p>
      <w:pPr>
        <w:spacing w:line="360" w:lineRule="exact"/>
        <w:ind w:firstLine="480" w:firstLineChars="200"/>
        <w:rPr>
          <w:rFonts w:ascii="宋体" w:hAnsi="宋体" w:cs="宋体"/>
          <w:sz w:val="24"/>
          <w:szCs w:val="24"/>
        </w:rPr>
      </w:pPr>
      <w:r>
        <w:rPr>
          <w:rFonts w:hint="eastAsia" w:ascii="宋体" w:hAnsi="宋体" w:cs="宋体"/>
          <w:sz w:val="24"/>
          <w:szCs w:val="24"/>
        </w:rPr>
        <w:t>1．报名后请各投标人连续关注本网站可能发生的相关变化等信息。如没有及时获悉相关变化而引起的后果由供应商自负。</w:t>
      </w:r>
    </w:p>
    <w:p>
      <w:pPr>
        <w:spacing w:line="360" w:lineRule="exact"/>
        <w:ind w:firstLine="480" w:firstLineChars="200"/>
        <w:rPr>
          <w:rFonts w:ascii="宋体" w:hAnsi="宋体" w:cs="宋体"/>
          <w:sz w:val="24"/>
          <w:szCs w:val="24"/>
        </w:rPr>
      </w:pPr>
      <w:r>
        <w:rPr>
          <w:rFonts w:hint="eastAsia" w:ascii="宋体" w:hAnsi="宋体" w:cs="宋体"/>
          <w:sz w:val="24"/>
          <w:szCs w:val="24"/>
        </w:rPr>
        <w:t>2．请投标人认真阅读招标文件，</w:t>
      </w:r>
      <w:r>
        <w:rPr>
          <w:rFonts w:hint="eastAsia" w:ascii="宋体" w:hAnsi="宋体" w:cs="宋体"/>
          <w:b/>
          <w:sz w:val="24"/>
          <w:szCs w:val="24"/>
        </w:rPr>
        <w:t>严格遵守时间</w:t>
      </w:r>
      <w:r>
        <w:rPr>
          <w:rFonts w:hint="eastAsia" w:ascii="宋体" w:hAnsi="宋体" w:cs="宋体"/>
          <w:sz w:val="24"/>
          <w:szCs w:val="24"/>
        </w:rPr>
        <w:t>、资料提供等相关约定，如有疑问请及时来人、来函、来电询问。</w:t>
      </w:r>
    </w:p>
    <w:p>
      <w:pPr>
        <w:spacing w:line="360" w:lineRule="exact"/>
        <w:ind w:firstLine="480" w:firstLineChars="200"/>
        <w:rPr>
          <w:rFonts w:ascii="宋体" w:hAnsi="宋体" w:cs="宋体"/>
          <w:b/>
          <w:bCs/>
          <w:sz w:val="24"/>
          <w:szCs w:val="24"/>
        </w:rPr>
      </w:pPr>
      <w:r>
        <w:rPr>
          <w:rFonts w:hint="eastAsia" w:ascii="宋体" w:hAnsi="宋体" w:cs="宋体"/>
          <w:sz w:val="24"/>
          <w:szCs w:val="24"/>
        </w:rPr>
        <w:t>3．招标公告发出后，潜在投标人根据招标公告内容，在领取招标文件前，可提出询问；报名结束后，未报名和未领取招标文件的，不能提出质疑。</w:t>
      </w:r>
    </w:p>
    <w:p>
      <w:pPr>
        <w:spacing w:line="360" w:lineRule="exact"/>
        <w:ind w:firstLine="480" w:firstLineChars="200"/>
        <w:rPr>
          <w:rFonts w:ascii="宋体" w:hAnsi="宋体" w:cs="宋体"/>
          <w:sz w:val="24"/>
          <w:szCs w:val="24"/>
        </w:rPr>
      </w:pPr>
      <w:r>
        <w:rPr>
          <w:rFonts w:hint="eastAsia" w:ascii="宋体" w:hAnsi="宋体" w:cs="宋体"/>
          <w:sz w:val="24"/>
          <w:szCs w:val="24"/>
        </w:rPr>
        <w:t>4.为了更好的规范管理学院财务处关于交纳和退还投标保证金工作，根据财务处相关规章制度，现对交纳和退还投标保证金作如下要求：各单位在交纳投标保证金时，</w:t>
      </w:r>
      <w:r>
        <w:rPr>
          <w:rFonts w:hint="eastAsia" w:ascii="宋体" w:hAnsi="宋体" w:cs="宋体"/>
          <w:b/>
          <w:bCs/>
          <w:color w:val="FF0000"/>
          <w:sz w:val="24"/>
          <w:szCs w:val="24"/>
        </w:rPr>
        <w:t>一律采用转账方式汇至我单位银行账户</w:t>
      </w:r>
      <w:r>
        <w:rPr>
          <w:rFonts w:hint="eastAsia" w:ascii="宋体" w:hAnsi="宋体" w:cs="宋体"/>
          <w:sz w:val="24"/>
          <w:szCs w:val="24"/>
        </w:rPr>
        <w:t>，</w:t>
      </w:r>
      <w:r>
        <w:rPr>
          <w:rFonts w:hint="eastAsia" w:ascii="宋体" w:hAnsi="宋体" w:cs="宋体"/>
          <w:b/>
          <w:color w:val="FF0000"/>
          <w:sz w:val="24"/>
          <w:szCs w:val="24"/>
        </w:rPr>
        <w:t>转账时备注项目名称及用途</w:t>
      </w:r>
      <w:r>
        <w:rPr>
          <w:rFonts w:hint="eastAsia" w:ascii="宋体" w:hAnsi="宋体" w:cs="宋体"/>
          <w:sz w:val="24"/>
          <w:szCs w:val="24"/>
        </w:rPr>
        <w:t>，我处原则上不接受现金交纳方式；在退还投标保证金时，我处一律采用转账方式予以退还到各单位银行账户上。特此告知各投标单位，希望大家积极配合好财务处服务工作!</w:t>
      </w:r>
    </w:p>
    <w:p>
      <w:pPr>
        <w:spacing w:line="220" w:lineRule="atLeast"/>
        <w:rPr>
          <w:rFonts w:hint="eastAsia"/>
        </w:rPr>
      </w:pPr>
    </w:p>
    <w:p>
      <w:pPr>
        <w:spacing w:line="220" w:lineRule="atLeast"/>
        <w:rPr>
          <w:rFonts w:hint="eastAsia"/>
        </w:rPr>
      </w:pPr>
    </w:p>
    <w:p>
      <w:pPr>
        <w:spacing w:line="220" w:lineRule="atLeast"/>
        <w:rPr>
          <w:rFonts w:hint="eastAsia"/>
        </w:rPr>
      </w:pPr>
    </w:p>
    <w:p>
      <w:pPr>
        <w:spacing w:line="220" w:lineRule="atLeast"/>
        <w:rPr>
          <w:rFonts w:hint="eastAsia"/>
        </w:rPr>
      </w:pPr>
    </w:p>
    <w:p>
      <w:pPr>
        <w:pageBreakBefore/>
        <w:spacing w:line="360" w:lineRule="auto"/>
        <w:ind w:firstLine="643" w:firstLineChars="200"/>
        <w:jc w:val="center"/>
        <w:rPr>
          <w:b/>
          <w:bCs/>
          <w:sz w:val="32"/>
          <w:szCs w:val="32"/>
        </w:rPr>
      </w:pPr>
      <w:bookmarkStart w:id="0" w:name="_Toc37838045"/>
      <w:bookmarkStart w:id="1" w:name="_Toc75435080"/>
      <w:r>
        <w:rPr>
          <w:rFonts w:hint="eastAsia" w:eastAsia="宋体"/>
          <w:b/>
          <w:bCs/>
          <w:sz w:val="32"/>
          <w:szCs w:val="32"/>
        </w:rPr>
        <w:t>第二部分 评标</w:t>
      </w:r>
    </w:p>
    <w:p>
      <w:pPr>
        <w:spacing w:line="360" w:lineRule="auto"/>
        <w:ind w:firstLine="480" w:firstLineChars="200"/>
        <w:rPr>
          <w:sz w:val="24"/>
        </w:rPr>
      </w:pPr>
      <w:r>
        <w:rPr>
          <w:rFonts w:hint="eastAsia"/>
          <w:bCs/>
          <w:sz w:val="24"/>
        </w:rPr>
        <w:t>一、</w:t>
      </w:r>
      <w:r>
        <w:rPr>
          <w:rFonts w:hint="eastAsia"/>
          <w:sz w:val="24"/>
        </w:rPr>
        <w:t>招标人按规定的时间和地点进行公开开标，</w:t>
      </w:r>
      <w:r>
        <w:rPr>
          <w:rFonts w:hint="eastAsia"/>
          <w:b/>
          <w:bCs/>
          <w:sz w:val="24"/>
        </w:rPr>
        <w:t>投标人根据招标人通知可派代表（持授权代表身份证明）参加。</w:t>
      </w:r>
      <w:r>
        <w:rPr>
          <w:rFonts w:hint="eastAsia" w:ascii="黑体" w:eastAsia="黑体"/>
          <w:b/>
          <w:bCs/>
          <w:sz w:val="24"/>
        </w:rPr>
        <w:t>投标人未派代表参加开标的，视为默认接受开标结果。</w:t>
      </w:r>
    </w:p>
    <w:p>
      <w:pPr>
        <w:spacing w:line="360" w:lineRule="auto"/>
        <w:ind w:firstLine="480" w:firstLineChars="200"/>
        <w:rPr>
          <w:bCs/>
          <w:sz w:val="24"/>
        </w:rPr>
      </w:pPr>
      <w:r>
        <w:rPr>
          <w:rFonts w:hint="eastAsia"/>
          <w:bCs/>
          <w:sz w:val="24"/>
        </w:rPr>
        <w:t>二、</w:t>
      </w:r>
      <w:r>
        <w:rPr>
          <w:rFonts w:hint="eastAsia" w:ascii="宋体"/>
          <w:bCs/>
          <w:sz w:val="24"/>
          <w:lang w:val="zh-CN"/>
        </w:rPr>
        <w:t>开标时，</w:t>
      </w:r>
      <w:r>
        <w:rPr>
          <w:rFonts w:hint="eastAsia"/>
          <w:bCs/>
          <w:sz w:val="24"/>
        </w:rPr>
        <w:t>招标人</w:t>
      </w:r>
      <w:r>
        <w:rPr>
          <w:rFonts w:hint="eastAsia" w:ascii="宋体"/>
          <w:bCs/>
          <w:sz w:val="24"/>
          <w:lang w:val="zh-CN"/>
        </w:rPr>
        <w:t>将邀请</w:t>
      </w:r>
      <w:r>
        <w:rPr>
          <w:rFonts w:hint="eastAsia"/>
          <w:bCs/>
          <w:sz w:val="24"/>
        </w:rPr>
        <w:t>投标人代表检查投标文件的密封情况，经确认无误后，由工作人员当众拆封，宣读投标人名称、投标价格、交货期等投标文件的主要内容。</w:t>
      </w:r>
    </w:p>
    <w:p>
      <w:pPr>
        <w:spacing w:line="360" w:lineRule="auto"/>
        <w:ind w:firstLine="480" w:firstLineChars="200"/>
        <w:rPr>
          <w:bCs/>
          <w:sz w:val="24"/>
        </w:rPr>
      </w:pPr>
      <w:r>
        <w:rPr>
          <w:rFonts w:hint="eastAsia"/>
          <w:bCs/>
          <w:sz w:val="24"/>
        </w:rPr>
        <w:t>三、招标人组织用户代表和</w:t>
      </w:r>
      <w:r>
        <w:rPr>
          <w:rFonts w:hint="eastAsia" w:ascii="宋体"/>
          <w:bCs/>
          <w:sz w:val="24"/>
          <w:lang w:val="zh-CN"/>
        </w:rPr>
        <w:t>有关技术、经济方面的</w:t>
      </w:r>
      <w:r>
        <w:rPr>
          <w:rFonts w:hint="eastAsia"/>
          <w:bCs/>
          <w:sz w:val="24"/>
        </w:rPr>
        <w:t>专家组成评标小组进行评标。</w:t>
      </w:r>
    </w:p>
    <w:p>
      <w:pPr>
        <w:spacing w:line="360" w:lineRule="auto"/>
        <w:ind w:firstLine="480" w:firstLineChars="200"/>
        <w:rPr>
          <w:bCs/>
          <w:sz w:val="24"/>
        </w:rPr>
      </w:pPr>
      <w:r>
        <w:rPr>
          <w:rFonts w:hint="eastAsia"/>
          <w:bCs/>
          <w:sz w:val="24"/>
        </w:rPr>
        <w:t>四、在详细评标之前，招标人和评委要对投标人的</w:t>
      </w:r>
      <w:r>
        <w:rPr>
          <w:rFonts w:hint="eastAsia" w:ascii="宋体" w:hAnsi="宋体"/>
          <w:bCs/>
          <w:sz w:val="24"/>
        </w:rPr>
        <w:t>投标资格以</w:t>
      </w:r>
      <w:r>
        <w:rPr>
          <w:rFonts w:hint="eastAsia"/>
          <w:bCs/>
          <w:sz w:val="24"/>
        </w:rPr>
        <w:t>及投标是否对招标文件的实质性要求和条件做出响应进行审查。</w:t>
      </w:r>
    </w:p>
    <w:p>
      <w:pPr>
        <w:spacing w:line="360" w:lineRule="auto"/>
        <w:ind w:firstLine="480" w:firstLineChars="200"/>
        <w:rPr>
          <w:bCs/>
          <w:sz w:val="24"/>
        </w:rPr>
      </w:pPr>
      <w:r>
        <w:rPr>
          <w:rFonts w:hint="eastAsia"/>
          <w:bCs/>
          <w:sz w:val="24"/>
        </w:rPr>
        <w:t>五、对招标文件的实质性要求和条件做出响应的投标应该是与招标文件要求的全部条款、条件、指标和规格相符，没有重大偏离的投标。招标人和评委判定投标的响应性质根据投标本身的内容，而不寻求外部的证据，投标人不得通过修正或撤销不符合要求的偏离从而使其投标成为实质上响应的投标。</w:t>
      </w:r>
    </w:p>
    <w:p>
      <w:pPr>
        <w:spacing w:line="353" w:lineRule="auto"/>
        <w:ind w:firstLine="480" w:firstLineChars="200"/>
        <w:rPr>
          <w:bCs/>
          <w:sz w:val="24"/>
        </w:rPr>
      </w:pPr>
      <w:r>
        <w:rPr>
          <w:rFonts w:hint="eastAsia"/>
          <w:bCs/>
          <w:sz w:val="24"/>
        </w:rPr>
        <w:t>六、评标小组认为有必要时，将要求投标人述标或对投标文件中某些内容作出澄清或说明，但不接受投标人主动提出的澄清和说明。</w:t>
      </w:r>
    </w:p>
    <w:p>
      <w:pPr>
        <w:spacing w:line="353" w:lineRule="auto"/>
        <w:ind w:firstLine="480" w:firstLineChars="200"/>
        <w:rPr>
          <w:bCs/>
          <w:sz w:val="24"/>
        </w:rPr>
      </w:pPr>
      <w:r>
        <w:rPr>
          <w:rFonts w:hint="eastAsia"/>
          <w:bCs/>
          <w:sz w:val="24"/>
        </w:rPr>
        <w:t>七、评标小组将从投标人的投标报价、产品质量、技术方案、售后服务、企业状况等经济、技术和商务及其他优惠条件等方面，依据评标方法，对所有投标文件进行综合评审。</w:t>
      </w:r>
    </w:p>
    <w:p>
      <w:pPr>
        <w:spacing w:line="353" w:lineRule="auto"/>
        <w:ind w:firstLine="480" w:firstLineChars="200"/>
        <w:rPr>
          <w:b/>
          <w:sz w:val="24"/>
        </w:rPr>
      </w:pPr>
      <w:r>
        <w:rPr>
          <w:rFonts w:hint="eastAsia"/>
          <w:b/>
          <w:sz w:val="24"/>
        </w:rPr>
        <w:t>八、评标方法及评分标准</w:t>
      </w:r>
    </w:p>
    <w:p>
      <w:pPr>
        <w:spacing w:line="353" w:lineRule="auto"/>
        <w:ind w:firstLine="480" w:firstLineChars="200"/>
        <w:rPr>
          <w:sz w:val="24"/>
        </w:rPr>
      </w:pPr>
      <w:r>
        <w:rPr>
          <w:rFonts w:hint="eastAsia"/>
          <w:sz w:val="24"/>
        </w:rPr>
        <w:t>（</w:t>
      </w:r>
      <w:r>
        <w:rPr>
          <w:sz w:val="24"/>
        </w:rPr>
        <w:t>1</w:t>
      </w:r>
      <w:r>
        <w:rPr>
          <w:rFonts w:hint="eastAsia"/>
          <w:sz w:val="24"/>
        </w:rPr>
        <w:t>）本次招标采用</w:t>
      </w:r>
      <w:r>
        <w:rPr>
          <w:rFonts w:hint="eastAsia"/>
          <w:b/>
          <w:sz w:val="24"/>
        </w:rPr>
        <w:t>综合评分法</w:t>
      </w:r>
      <w:r>
        <w:rPr>
          <w:rFonts w:hint="eastAsia"/>
          <w:sz w:val="24"/>
        </w:rPr>
        <w:t>评标，即在投标文件满足招标文件全部实质性要求，且按照评审因素的量化指标评审得分最高的投标人为排名第一的中标候选人。</w:t>
      </w:r>
    </w:p>
    <w:p>
      <w:pPr>
        <w:spacing w:line="353" w:lineRule="auto"/>
        <w:ind w:firstLine="480" w:firstLineChars="200"/>
        <w:rPr>
          <w:sz w:val="24"/>
        </w:rPr>
      </w:pPr>
      <w:r>
        <w:rPr>
          <w:rFonts w:hint="eastAsia"/>
          <w:sz w:val="24"/>
        </w:rPr>
        <w:t>（</w:t>
      </w:r>
      <w:r>
        <w:rPr>
          <w:sz w:val="24"/>
        </w:rPr>
        <w:t>2</w:t>
      </w:r>
      <w:r>
        <w:rPr>
          <w:rFonts w:hint="eastAsia"/>
          <w:sz w:val="24"/>
        </w:rPr>
        <w:t>）评标小组各成员独立对每一份有效投标文件进行评价并对除报价以外的评分项目进行评分，报价得分由工作人员通过计算得出。</w:t>
      </w:r>
    </w:p>
    <w:p>
      <w:pPr>
        <w:spacing w:line="360" w:lineRule="auto"/>
        <w:ind w:firstLine="480" w:firstLineChars="200"/>
        <w:rPr>
          <w:b/>
          <w:sz w:val="24"/>
        </w:rPr>
      </w:pPr>
      <w:r>
        <w:rPr>
          <w:rFonts w:hint="eastAsia"/>
          <w:b/>
          <w:sz w:val="24"/>
        </w:rPr>
        <w:t>投标人得分</w:t>
      </w:r>
      <w:r>
        <w:rPr>
          <w:b/>
          <w:sz w:val="24"/>
        </w:rPr>
        <w:t xml:space="preserve"> = </w:t>
      </w:r>
      <w:r>
        <w:rPr>
          <w:rFonts w:hint="eastAsia"/>
          <w:b/>
          <w:sz w:val="24"/>
        </w:rPr>
        <w:t>∑评委评价得分</w:t>
      </w:r>
      <w:r>
        <w:rPr>
          <w:b/>
          <w:sz w:val="24"/>
        </w:rPr>
        <w:t>/</w:t>
      </w:r>
      <w:r>
        <w:rPr>
          <w:rFonts w:hint="eastAsia"/>
          <w:b/>
          <w:sz w:val="24"/>
        </w:rPr>
        <w:t>评委人数</w:t>
      </w:r>
      <w:r>
        <w:rPr>
          <w:b/>
          <w:sz w:val="24"/>
        </w:rPr>
        <w:t xml:space="preserve"> + </w:t>
      </w:r>
      <w:r>
        <w:rPr>
          <w:rFonts w:hint="eastAsia"/>
          <w:b/>
          <w:sz w:val="24"/>
        </w:rPr>
        <w:t>报价得分。</w:t>
      </w:r>
    </w:p>
    <w:p>
      <w:pPr>
        <w:spacing w:line="360" w:lineRule="auto"/>
        <w:ind w:firstLine="480" w:firstLineChars="200"/>
        <w:jc w:val="center"/>
        <w:rPr>
          <w:rFonts w:ascii="宋体"/>
          <w:bCs/>
          <w:sz w:val="24"/>
        </w:rPr>
      </w:pPr>
      <w:r>
        <w:rPr>
          <w:b/>
          <w:sz w:val="24"/>
        </w:rPr>
        <w:br w:type="page"/>
      </w:r>
      <w:r>
        <w:rPr>
          <w:rFonts w:hint="eastAsia" w:ascii="宋体" w:hAnsi="宋体"/>
          <w:b/>
          <w:sz w:val="24"/>
        </w:rPr>
        <w:t>评分标准</w:t>
      </w:r>
    </w:p>
    <w:tbl>
      <w:tblPr>
        <w:tblStyle w:val="4"/>
        <w:tblW w:w="94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134"/>
        <w:gridCol w:w="1276"/>
        <w:gridCol w:w="5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pacing w:line="360" w:lineRule="auto"/>
              <w:jc w:val="center"/>
              <w:rPr>
                <w:rFonts w:ascii="宋体" w:hAnsi="宋体" w:cs="宋体"/>
                <w:b/>
                <w:bCs/>
                <w:color w:val="000000"/>
                <w:szCs w:val="21"/>
              </w:rPr>
            </w:pPr>
            <w:bookmarkStart w:id="2" w:name="_Hlk25755530"/>
            <w:r>
              <w:rPr>
                <w:rFonts w:hint="eastAsia" w:ascii="宋体" w:hAnsi="宋体" w:cs="宋体"/>
                <w:b/>
                <w:bCs/>
                <w:color w:val="000000"/>
                <w:szCs w:val="21"/>
              </w:rPr>
              <w:t>评审因素</w:t>
            </w:r>
          </w:p>
        </w:tc>
        <w:tc>
          <w:tcPr>
            <w:tcW w:w="1134" w:type="dxa"/>
            <w:vAlign w:val="center"/>
          </w:tcPr>
          <w:p>
            <w:pPr>
              <w:spacing w:line="360" w:lineRule="auto"/>
              <w:jc w:val="center"/>
              <w:rPr>
                <w:rFonts w:ascii="宋体" w:hAnsi="宋体" w:cs="宋体"/>
                <w:b/>
                <w:bCs/>
                <w:color w:val="000000"/>
                <w:szCs w:val="21"/>
              </w:rPr>
            </w:pPr>
            <w:r>
              <w:rPr>
                <w:rFonts w:hint="eastAsia" w:ascii="宋体" w:hAnsi="宋体" w:cs="宋体"/>
                <w:b/>
                <w:bCs/>
                <w:color w:val="000000"/>
                <w:szCs w:val="21"/>
              </w:rPr>
              <w:t>分值</w:t>
            </w:r>
          </w:p>
        </w:tc>
        <w:tc>
          <w:tcPr>
            <w:tcW w:w="7213" w:type="dxa"/>
            <w:gridSpan w:val="2"/>
            <w:vAlign w:val="center"/>
          </w:tcPr>
          <w:p>
            <w:pPr>
              <w:spacing w:line="360" w:lineRule="auto"/>
              <w:jc w:val="center"/>
              <w:rPr>
                <w:rFonts w:ascii="宋体" w:hAnsi="宋体" w:cs="宋体"/>
                <w:b/>
                <w:bCs/>
                <w:color w:val="000000"/>
                <w:szCs w:val="21"/>
              </w:rPr>
            </w:pPr>
            <w:r>
              <w:rPr>
                <w:rFonts w:hint="eastAsia" w:ascii="宋体" w:hAnsi="宋体" w:cs="宋体"/>
                <w:b/>
                <w:bCs/>
                <w:color w:val="000000"/>
                <w:szCs w:val="21"/>
              </w:rPr>
              <w:t>具体分值及评分标准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12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投标报价</w:t>
            </w:r>
          </w:p>
        </w:tc>
        <w:tc>
          <w:tcPr>
            <w:tcW w:w="1134"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60</w:t>
            </w:r>
          </w:p>
        </w:tc>
        <w:tc>
          <w:tcPr>
            <w:tcW w:w="7213" w:type="dxa"/>
            <w:gridSpan w:val="2"/>
            <w:vAlign w:val="center"/>
          </w:tcPr>
          <w:p>
            <w:pPr>
              <w:ind w:left="-2" w:leftChars="-1" w:firstLine="440" w:firstLineChars="200"/>
            </w:pPr>
            <w:r>
              <w:rPr>
                <w:rFonts w:hint="eastAsia"/>
              </w:rPr>
              <w:t>采用算术平均价法：</w:t>
            </w:r>
          </w:p>
          <w:p>
            <w:pPr>
              <w:ind w:left="-2" w:leftChars="-1" w:firstLine="440" w:firstLineChars="200"/>
              <w:rPr>
                <w:rFonts w:ascii="宋体" w:hAnsi="宋体" w:cs="宋体"/>
              </w:rPr>
            </w:pPr>
            <w:r>
              <w:rPr>
                <w:rFonts w:hint="eastAsia" w:ascii="宋体" w:hAnsi="宋体" w:eastAsia="宋体" w:cs="宋体"/>
              </w:rPr>
              <w:t>所有有效投标报价的算术平均值作为评标基准价，等于评标基准价的得基本分</w:t>
            </w:r>
            <w:r>
              <w:rPr>
                <w:rFonts w:hint="eastAsia" w:ascii="宋体" w:hAnsi="宋体" w:cs="宋体"/>
              </w:rPr>
              <w:t>50</w:t>
            </w:r>
            <w:r>
              <w:rPr>
                <w:rFonts w:hint="eastAsia" w:ascii="宋体" w:hAnsi="宋体" w:eastAsia="宋体" w:cs="宋体"/>
              </w:rPr>
              <w:t>分。投标人的投标报价每高于评标基准价2%扣1分，扣完为止。投标人的投标报价每低于评标基准价2%加1分，最多加10分。中间插值计算。</w:t>
            </w:r>
          </w:p>
          <w:p>
            <w:pPr>
              <w:rPr>
                <w:rFonts w:ascii="宋体" w:hAnsi="宋体" w:cs="宋体"/>
                <w:color w:val="000000"/>
                <w:szCs w:val="21"/>
              </w:rPr>
            </w:pPr>
            <w:r>
              <w:rPr>
                <w:rFonts w:hint="eastAsia" w:ascii="宋体" w:hAnsi="宋体" w:eastAsia="宋体" w:cs="宋体"/>
              </w:rPr>
              <w:t>评标委员会（评标小组）有权对疑为低于成本的报价提出质询，被质询的报价人应提供该报价价格的相关证明材料供评标委员会（评标小组）审查，未提供或提供的证明材料不能证明其报价价格是合理的，将被作为低于成本报价予以否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29"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产品技术</w:t>
            </w:r>
          </w:p>
        </w:tc>
        <w:tc>
          <w:tcPr>
            <w:tcW w:w="1134"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25</w:t>
            </w: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技术要求（20）</w:t>
            </w:r>
          </w:p>
        </w:tc>
        <w:tc>
          <w:tcPr>
            <w:tcW w:w="5937" w:type="dxa"/>
            <w:vAlign w:val="center"/>
          </w:tcPr>
          <w:p>
            <w:pPr>
              <w:ind w:firstLine="440" w:firstLineChars="200"/>
              <w:rPr>
                <w:rFonts w:ascii="宋体" w:hAnsi="宋体" w:cs="宋体"/>
                <w:color w:val="000000"/>
                <w:szCs w:val="21"/>
              </w:rPr>
            </w:pPr>
            <w:r>
              <w:rPr>
                <w:rFonts w:hint="eastAsia"/>
                <w:szCs w:val="21"/>
              </w:rPr>
              <w:t>完全满足招标文件技术指标要求的基准分15分；有实质性正偏离每项加</w:t>
            </w:r>
            <w:r>
              <w:rPr>
                <w:szCs w:val="21"/>
              </w:rPr>
              <w:t>1</w:t>
            </w:r>
            <w:r>
              <w:rPr>
                <w:rFonts w:hint="eastAsia"/>
                <w:szCs w:val="21"/>
              </w:rPr>
              <w:t>—2分，最多加5分；有实质性负偏离每项减</w:t>
            </w:r>
            <w:r>
              <w:rPr>
                <w:szCs w:val="21"/>
              </w:rPr>
              <w:t>1</w:t>
            </w:r>
            <w:r>
              <w:rPr>
                <w:rFonts w:hint="eastAsia"/>
                <w:szCs w:val="21"/>
              </w:rPr>
              <w:t>—2分，减完为止。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29" w:type="dxa"/>
            <w:vMerge w:val="continue"/>
            <w:vAlign w:val="center"/>
          </w:tcPr>
          <w:p>
            <w:pPr>
              <w:spacing w:line="360" w:lineRule="auto"/>
              <w:jc w:val="center"/>
              <w:rPr>
                <w:rFonts w:ascii="宋体" w:hAnsi="宋体" w:cs="宋体"/>
                <w:color w:val="000000"/>
                <w:szCs w:val="21"/>
              </w:rPr>
            </w:pPr>
          </w:p>
        </w:tc>
        <w:tc>
          <w:tcPr>
            <w:tcW w:w="1134" w:type="dxa"/>
            <w:vMerge w:val="continue"/>
            <w:vAlign w:val="center"/>
          </w:tcPr>
          <w:p>
            <w:pPr>
              <w:spacing w:line="360" w:lineRule="auto"/>
              <w:jc w:val="center"/>
              <w:rPr>
                <w:rFonts w:ascii="宋体" w:hAnsi="宋体" w:cs="宋体"/>
                <w:color w:val="000000"/>
                <w:szCs w:val="21"/>
              </w:rPr>
            </w:pP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性能品质（5）</w:t>
            </w:r>
          </w:p>
        </w:tc>
        <w:tc>
          <w:tcPr>
            <w:tcW w:w="5937" w:type="dxa"/>
            <w:vAlign w:val="center"/>
          </w:tcPr>
          <w:p>
            <w:pPr>
              <w:ind w:firstLine="440" w:firstLineChars="200"/>
              <w:rPr>
                <w:rFonts w:ascii="宋体" w:hAnsi="宋体" w:cs="宋体"/>
                <w:color w:val="000000"/>
                <w:szCs w:val="21"/>
              </w:rPr>
            </w:pPr>
            <w:r>
              <w:rPr>
                <w:rFonts w:hint="eastAsia"/>
                <w:szCs w:val="21"/>
              </w:rPr>
              <w:t>对投标产品的品牌、系列、档次、产地、行业（或高校）占有率、影响力以及产品的先进性、可靠性、稳定性等方面进行综合评价，评价好得4～5分；评价较好得2～3分；评价一般得0</w:t>
            </w:r>
            <w:r>
              <w:rPr>
                <w:szCs w:val="21"/>
              </w:rPr>
              <w:t>~</w:t>
            </w:r>
            <w:r>
              <w:rPr>
                <w:rFonts w:hint="eastAsia"/>
                <w:szCs w:val="21"/>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129"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投标人综合实力</w:t>
            </w:r>
          </w:p>
          <w:p>
            <w:pPr>
              <w:spacing w:line="360" w:lineRule="auto"/>
              <w:jc w:val="center"/>
              <w:rPr>
                <w:rFonts w:ascii="宋体" w:hAnsi="宋体" w:cs="宋体"/>
                <w:color w:val="000000"/>
                <w:szCs w:val="21"/>
              </w:rPr>
            </w:pPr>
          </w:p>
        </w:tc>
        <w:tc>
          <w:tcPr>
            <w:tcW w:w="1134"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5</w:t>
            </w: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企业资质</w:t>
            </w:r>
          </w:p>
          <w:p>
            <w:pPr>
              <w:jc w:val="center"/>
              <w:rPr>
                <w:rFonts w:ascii="宋体" w:hAnsi="宋体" w:cs="宋体"/>
                <w:color w:val="000000"/>
                <w:szCs w:val="21"/>
              </w:rPr>
            </w:pPr>
            <w:r>
              <w:rPr>
                <w:rFonts w:hint="eastAsia" w:ascii="宋体" w:hAnsi="宋体" w:cs="宋体"/>
                <w:color w:val="000000"/>
                <w:szCs w:val="21"/>
              </w:rPr>
              <w:t>（2）</w:t>
            </w:r>
          </w:p>
        </w:tc>
        <w:tc>
          <w:tcPr>
            <w:tcW w:w="5937" w:type="dxa"/>
            <w:vAlign w:val="center"/>
          </w:tcPr>
          <w:p>
            <w:pPr>
              <w:rPr>
                <w:rFonts w:ascii="宋体" w:hAnsi="宋体" w:cs="宋体"/>
                <w:color w:val="000000"/>
                <w:szCs w:val="21"/>
              </w:rPr>
            </w:pPr>
            <w:r>
              <w:rPr>
                <w:rFonts w:hint="eastAsia" w:ascii="宋体" w:hAnsi="宋体" w:cs="宋体"/>
                <w:color w:val="000000"/>
                <w:szCs w:val="21"/>
              </w:rPr>
              <w:t>根据厂家和投标人综合实力进行横向比较，优得2分，其他酌情扣减。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jc w:val="center"/>
        </w:trPr>
        <w:tc>
          <w:tcPr>
            <w:tcW w:w="1129" w:type="dxa"/>
            <w:vMerge w:val="continue"/>
            <w:vAlign w:val="center"/>
          </w:tcPr>
          <w:p>
            <w:pPr>
              <w:spacing w:line="360" w:lineRule="auto"/>
              <w:jc w:val="center"/>
              <w:rPr>
                <w:rFonts w:ascii="宋体" w:hAnsi="宋体" w:cs="宋体"/>
                <w:color w:val="000000"/>
                <w:szCs w:val="21"/>
              </w:rPr>
            </w:pPr>
          </w:p>
        </w:tc>
        <w:tc>
          <w:tcPr>
            <w:tcW w:w="1134" w:type="dxa"/>
            <w:vMerge w:val="continue"/>
          </w:tcPr>
          <w:p>
            <w:pPr>
              <w:spacing w:line="360" w:lineRule="auto"/>
              <w:jc w:val="center"/>
              <w:rPr>
                <w:rFonts w:ascii="宋体" w:hAnsi="宋体" w:cs="宋体"/>
                <w:color w:val="000000"/>
                <w:szCs w:val="21"/>
              </w:rPr>
            </w:pP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业绩案例</w:t>
            </w:r>
          </w:p>
          <w:p>
            <w:pPr>
              <w:jc w:val="center"/>
              <w:rPr>
                <w:rFonts w:ascii="宋体" w:hAnsi="宋体" w:cs="宋体"/>
                <w:color w:val="000000"/>
                <w:szCs w:val="21"/>
              </w:rPr>
            </w:pPr>
            <w:r>
              <w:rPr>
                <w:rFonts w:hint="eastAsia" w:ascii="宋体" w:hAnsi="宋体" w:cs="宋体"/>
                <w:color w:val="000000"/>
                <w:szCs w:val="21"/>
              </w:rPr>
              <w:t>(3)</w:t>
            </w:r>
          </w:p>
        </w:tc>
        <w:tc>
          <w:tcPr>
            <w:tcW w:w="5937" w:type="dxa"/>
            <w:vAlign w:val="center"/>
          </w:tcPr>
          <w:p>
            <w:pPr>
              <w:rPr>
                <w:color w:val="000000"/>
                <w:szCs w:val="21"/>
              </w:rPr>
            </w:pPr>
            <w:r>
              <w:rPr>
                <w:rFonts w:hint="eastAsia"/>
                <w:color w:val="000000"/>
                <w:szCs w:val="21"/>
              </w:rPr>
              <w:t>投标人近三年与本项目中设备相类似的业绩案例，每份得1分，最多3分。</w:t>
            </w:r>
          </w:p>
          <w:p>
            <w:pPr>
              <w:rPr>
                <w:color w:val="000000"/>
                <w:szCs w:val="21"/>
              </w:rPr>
            </w:pPr>
            <w:r>
              <w:rPr>
                <w:rFonts w:hint="eastAsia" w:ascii="仿宋" w:hAnsi="仿宋" w:eastAsia="仿宋"/>
                <w:color w:val="000000"/>
                <w:sz w:val="24"/>
              </w:rPr>
              <w:t>（</w:t>
            </w:r>
            <w:r>
              <w:rPr>
                <w:rFonts w:hint="eastAsia"/>
                <w:color w:val="000000"/>
                <w:szCs w:val="21"/>
              </w:rPr>
              <w:t>提供合同复印件、合同中不得隐去任何内容（否则不得分），业主运行使用情况证明及验收合格报告等作为佐证材料，原件备查。）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29"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售后服务</w:t>
            </w:r>
          </w:p>
        </w:tc>
        <w:tc>
          <w:tcPr>
            <w:tcW w:w="1134"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9</w:t>
            </w: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售后服务</w:t>
            </w:r>
          </w:p>
          <w:p>
            <w:pPr>
              <w:jc w:val="center"/>
              <w:rPr>
                <w:rFonts w:ascii="宋体" w:hAnsi="宋体" w:cs="宋体"/>
                <w:color w:val="000000"/>
                <w:szCs w:val="21"/>
              </w:rPr>
            </w:pPr>
            <w:r>
              <w:rPr>
                <w:rFonts w:hint="eastAsia" w:ascii="宋体" w:hAnsi="宋体" w:cs="宋体"/>
                <w:color w:val="000000"/>
                <w:szCs w:val="21"/>
              </w:rPr>
              <w:t>（7）</w:t>
            </w:r>
          </w:p>
        </w:tc>
        <w:tc>
          <w:tcPr>
            <w:tcW w:w="5937" w:type="dxa"/>
            <w:vAlign w:val="center"/>
          </w:tcPr>
          <w:p>
            <w:pPr>
              <w:rPr>
                <w:rFonts w:ascii="宋体" w:hAnsi="宋体" w:cs="宋体"/>
                <w:color w:val="000000"/>
                <w:szCs w:val="21"/>
              </w:rPr>
            </w:pPr>
            <w:r>
              <w:rPr>
                <w:rFonts w:hint="eastAsia" w:ascii="宋体" w:hAnsi="宋体" w:cs="宋体"/>
                <w:color w:val="000000"/>
                <w:szCs w:val="21"/>
              </w:rPr>
              <w:t>根据售后服务方案、本地化服务能力、故障响应时间、处理速度、定期巡检</w:t>
            </w:r>
            <w:r>
              <w:rPr>
                <w:rFonts w:hint="eastAsia"/>
                <w:szCs w:val="21"/>
              </w:rPr>
              <w:t>以及技术支持、软件升级、技术培训等服务</w:t>
            </w:r>
            <w:r>
              <w:rPr>
                <w:rFonts w:hint="eastAsia"/>
              </w:rPr>
              <w:t>承诺评分</w:t>
            </w:r>
            <w:r>
              <w:rPr>
                <w:rFonts w:hint="eastAsia" w:ascii="宋体" w:hAnsi="宋体" w:cs="宋体"/>
                <w:color w:val="000000"/>
                <w:szCs w:val="21"/>
              </w:rPr>
              <w:t>，各投标人横向对比，优得6—7</w:t>
            </w:r>
            <w:r>
              <w:rPr>
                <w:rFonts w:ascii="宋体" w:hAnsi="宋体" w:cs="宋体"/>
                <w:color w:val="000000"/>
                <w:szCs w:val="21"/>
              </w:rPr>
              <w:t>分，</w:t>
            </w:r>
            <w:r>
              <w:rPr>
                <w:rFonts w:hint="eastAsia" w:ascii="宋体" w:hAnsi="宋体" w:cs="宋体"/>
                <w:color w:val="000000"/>
                <w:szCs w:val="21"/>
              </w:rPr>
              <w:t>良</w:t>
            </w:r>
            <w:r>
              <w:rPr>
                <w:rFonts w:ascii="宋体" w:hAnsi="宋体" w:cs="宋体"/>
                <w:color w:val="000000"/>
                <w:szCs w:val="21"/>
              </w:rPr>
              <w:t>得</w:t>
            </w:r>
            <w:r>
              <w:rPr>
                <w:rFonts w:hint="eastAsia" w:ascii="宋体" w:hAnsi="宋体" w:cs="宋体"/>
                <w:color w:val="000000"/>
                <w:szCs w:val="21"/>
              </w:rPr>
              <w:t>4—5</w:t>
            </w:r>
            <w:r>
              <w:rPr>
                <w:rFonts w:ascii="宋体" w:hAnsi="宋体" w:cs="宋体"/>
                <w:color w:val="000000"/>
                <w:szCs w:val="21"/>
              </w:rPr>
              <w:t>分，</w:t>
            </w:r>
            <w:r>
              <w:rPr>
                <w:rFonts w:hint="eastAsia" w:ascii="宋体" w:hAnsi="宋体" w:cs="宋体"/>
                <w:color w:val="000000"/>
                <w:szCs w:val="21"/>
              </w:rPr>
              <w:t>一般</w:t>
            </w:r>
            <w:r>
              <w:rPr>
                <w:rFonts w:ascii="宋体" w:hAnsi="宋体" w:cs="宋体"/>
                <w:color w:val="000000"/>
                <w:szCs w:val="21"/>
              </w:rPr>
              <w:t>得</w:t>
            </w:r>
            <w:r>
              <w:rPr>
                <w:rFonts w:hint="eastAsia" w:ascii="宋体" w:hAnsi="宋体" w:cs="宋体"/>
                <w:color w:val="000000"/>
                <w:szCs w:val="21"/>
              </w:rPr>
              <w:t>1—3</w:t>
            </w:r>
            <w:r>
              <w:rPr>
                <w:rFonts w:ascii="宋体" w:hAnsi="宋体" w:cs="宋体"/>
                <w:color w:val="00000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1129" w:type="dxa"/>
            <w:vMerge w:val="continue"/>
            <w:vAlign w:val="center"/>
          </w:tcPr>
          <w:p>
            <w:pPr>
              <w:spacing w:line="360" w:lineRule="auto"/>
              <w:jc w:val="center"/>
              <w:rPr>
                <w:rFonts w:ascii="宋体" w:hAnsi="宋体" w:cs="宋体"/>
                <w:color w:val="000000"/>
                <w:szCs w:val="21"/>
              </w:rPr>
            </w:pPr>
          </w:p>
        </w:tc>
        <w:tc>
          <w:tcPr>
            <w:tcW w:w="1134" w:type="dxa"/>
            <w:vMerge w:val="continue"/>
            <w:vAlign w:val="center"/>
          </w:tcPr>
          <w:p>
            <w:pPr>
              <w:spacing w:line="360" w:lineRule="auto"/>
              <w:jc w:val="center"/>
              <w:rPr>
                <w:rFonts w:ascii="宋体" w:hAnsi="宋体" w:cs="宋体"/>
                <w:color w:val="000000"/>
                <w:szCs w:val="21"/>
              </w:rPr>
            </w:pP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质保期</w:t>
            </w:r>
          </w:p>
          <w:p>
            <w:pPr>
              <w:jc w:val="center"/>
              <w:rPr>
                <w:rFonts w:ascii="宋体" w:hAnsi="宋体" w:cs="宋体"/>
                <w:color w:val="000000"/>
                <w:szCs w:val="21"/>
              </w:rPr>
            </w:pPr>
            <w:r>
              <w:rPr>
                <w:rFonts w:hint="eastAsia" w:ascii="宋体" w:hAnsi="宋体" w:cs="宋体"/>
                <w:color w:val="000000"/>
                <w:szCs w:val="21"/>
              </w:rPr>
              <w:t>(2)</w:t>
            </w:r>
          </w:p>
        </w:tc>
        <w:tc>
          <w:tcPr>
            <w:tcW w:w="5937" w:type="dxa"/>
            <w:vAlign w:val="center"/>
          </w:tcPr>
          <w:p>
            <w:pPr>
              <w:rPr>
                <w:rFonts w:ascii="宋体" w:hAnsi="宋体" w:cs="宋体"/>
                <w:color w:val="000000"/>
                <w:szCs w:val="21"/>
              </w:rPr>
            </w:pPr>
            <w:r>
              <w:rPr>
                <w:rFonts w:hint="eastAsia"/>
                <w:color w:val="000000"/>
                <w:szCs w:val="21"/>
              </w:rPr>
              <w:t>满足招标文件的2分，在原厂质保二年的基础上每延长一年加</w:t>
            </w:r>
            <w:r>
              <w:rPr>
                <w:rFonts w:hint="eastAsia" w:ascii="宋体" w:hAnsi="宋体" w:cs="宋体"/>
                <w:color w:val="000000"/>
                <w:szCs w:val="21"/>
              </w:rPr>
              <w:t>1分，最多加3分。需提供原厂质保函原件，否则不得分。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其他</w:t>
            </w:r>
          </w:p>
        </w:tc>
        <w:tc>
          <w:tcPr>
            <w:tcW w:w="1134"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1</w:t>
            </w:r>
          </w:p>
        </w:tc>
        <w:tc>
          <w:tcPr>
            <w:tcW w:w="1276"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投标文件</w:t>
            </w:r>
          </w:p>
        </w:tc>
        <w:tc>
          <w:tcPr>
            <w:tcW w:w="5937" w:type="dxa"/>
            <w:vAlign w:val="center"/>
          </w:tcPr>
          <w:p>
            <w:pPr>
              <w:rPr>
                <w:rFonts w:ascii="宋体" w:hAnsi="宋体" w:cs="宋体"/>
                <w:color w:val="000000"/>
                <w:szCs w:val="21"/>
              </w:rPr>
            </w:pPr>
            <w:r>
              <w:rPr>
                <w:rFonts w:hint="eastAsia"/>
                <w:color w:val="000000"/>
              </w:rPr>
              <w:t>标书规范且有关键指标索引的，得</w:t>
            </w:r>
            <w:r>
              <w:rPr>
                <w:color w:val="000000"/>
              </w:rPr>
              <w:t>1</w:t>
            </w:r>
            <w:r>
              <w:rPr>
                <w:rFonts w:hint="eastAsia"/>
                <w:color w:val="000000"/>
              </w:rPr>
              <w:t>分，其他酌情扣减，扣完为止。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合计</w:t>
            </w:r>
          </w:p>
        </w:tc>
        <w:tc>
          <w:tcPr>
            <w:tcW w:w="1134"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1</w:t>
            </w:r>
            <w:r>
              <w:rPr>
                <w:rFonts w:ascii="宋体" w:hAnsi="宋体" w:cs="宋体"/>
                <w:color w:val="000000"/>
                <w:szCs w:val="21"/>
              </w:rPr>
              <w:t>00</w:t>
            </w:r>
          </w:p>
        </w:tc>
        <w:tc>
          <w:tcPr>
            <w:tcW w:w="7213" w:type="dxa"/>
            <w:gridSpan w:val="2"/>
            <w:vAlign w:val="center"/>
          </w:tcPr>
          <w:p>
            <w:pPr>
              <w:spacing w:line="360" w:lineRule="auto"/>
              <w:rPr>
                <w:color w:val="000000"/>
              </w:rPr>
            </w:pPr>
            <w:r>
              <w:rPr>
                <w:rFonts w:hint="eastAsia"/>
                <w:color w:val="000000"/>
                <w:szCs w:val="21"/>
              </w:rPr>
              <w:t>投标人最后得分保留两位小数</w:t>
            </w:r>
          </w:p>
        </w:tc>
      </w:tr>
      <w:bookmarkEnd w:id="0"/>
      <w:bookmarkEnd w:id="1"/>
      <w:bookmarkEnd w:id="2"/>
    </w:tbl>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2"/>
  </w:compat>
  <w:docVars>
    <w:docVar w:name="commondata" w:val="eyJoZGlkIjoiYWQ0ZDliZWQwYjllZmM1N2JiOTI0Nzc3NzBiZWU1ZTcifQ=="/>
  </w:docVars>
  <w:rsids>
    <w:rsidRoot w:val="00D31D50"/>
    <w:rsid w:val="00024414"/>
    <w:rsid w:val="00062A57"/>
    <w:rsid w:val="00091166"/>
    <w:rsid w:val="000A099E"/>
    <w:rsid w:val="000A7A46"/>
    <w:rsid w:val="000F1960"/>
    <w:rsid w:val="00176E7E"/>
    <w:rsid w:val="00185039"/>
    <w:rsid w:val="001E6196"/>
    <w:rsid w:val="002311E9"/>
    <w:rsid w:val="002715E4"/>
    <w:rsid w:val="00286F88"/>
    <w:rsid w:val="002B4592"/>
    <w:rsid w:val="002D5DEB"/>
    <w:rsid w:val="00323B43"/>
    <w:rsid w:val="00341983"/>
    <w:rsid w:val="00382C8A"/>
    <w:rsid w:val="003B66FE"/>
    <w:rsid w:val="003D37D8"/>
    <w:rsid w:val="00426133"/>
    <w:rsid w:val="004358AB"/>
    <w:rsid w:val="00445722"/>
    <w:rsid w:val="004A5071"/>
    <w:rsid w:val="004E48B0"/>
    <w:rsid w:val="004F6AB6"/>
    <w:rsid w:val="005069EF"/>
    <w:rsid w:val="00522AF4"/>
    <w:rsid w:val="00524DF1"/>
    <w:rsid w:val="0054330E"/>
    <w:rsid w:val="0054353A"/>
    <w:rsid w:val="00593F15"/>
    <w:rsid w:val="005B63B2"/>
    <w:rsid w:val="005C6247"/>
    <w:rsid w:val="005F2D2F"/>
    <w:rsid w:val="00647C42"/>
    <w:rsid w:val="00687A6D"/>
    <w:rsid w:val="006C279B"/>
    <w:rsid w:val="00721B20"/>
    <w:rsid w:val="00757A82"/>
    <w:rsid w:val="007C1387"/>
    <w:rsid w:val="007E161C"/>
    <w:rsid w:val="0082061B"/>
    <w:rsid w:val="0084303C"/>
    <w:rsid w:val="008B7726"/>
    <w:rsid w:val="00902E01"/>
    <w:rsid w:val="00903499"/>
    <w:rsid w:val="0091130E"/>
    <w:rsid w:val="00913769"/>
    <w:rsid w:val="00920DDD"/>
    <w:rsid w:val="0097473A"/>
    <w:rsid w:val="00984DE8"/>
    <w:rsid w:val="009C4C1D"/>
    <w:rsid w:val="00A204F8"/>
    <w:rsid w:val="00A207A0"/>
    <w:rsid w:val="00A228EC"/>
    <w:rsid w:val="00A3627B"/>
    <w:rsid w:val="00A517D5"/>
    <w:rsid w:val="00AC4B58"/>
    <w:rsid w:val="00B217A9"/>
    <w:rsid w:val="00B24EE4"/>
    <w:rsid w:val="00C04A4D"/>
    <w:rsid w:val="00C7572B"/>
    <w:rsid w:val="00C812C1"/>
    <w:rsid w:val="00CA028A"/>
    <w:rsid w:val="00CF57C7"/>
    <w:rsid w:val="00D13352"/>
    <w:rsid w:val="00D31D50"/>
    <w:rsid w:val="00D53D39"/>
    <w:rsid w:val="00D625B5"/>
    <w:rsid w:val="00D77039"/>
    <w:rsid w:val="00D822BA"/>
    <w:rsid w:val="00DA287C"/>
    <w:rsid w:val="00DC6755"/>
    <w:rsid w:val="00E103CA"/>
    <w:rsid w:val="00E611D1"/>
    <w:rsid w:val="00E67AF1"/>
    <w:rsid w:val="00E94F9E"/>
    <w:rsid w:val="00EB1460"/>
    <w:rsid w:val="00EE15E8"/>
    <w:rsid w:val="00EE3338"/>
    <w:rsid w:val="00EE3BA4"/>
    <w:rsid w:val="00F01DB5"/>
    <w:rsid w:val="00F4793F"/>
    <w:rsid w:val="00FC06C7"/>
    <w:rsid w:val="00FF766E"/>
    <w:rsid w:val="058B6D69"/>
    <w:rsid w:val="093040A5"/>
    <w:rsid w:val="130966E3"/>
    <w:rsid w:val="1D8B2C74"/>
    <w:rsid w:val="230223AE"/>
    <w:rsid w:val="28AD69AF"/>
    <w:rsid w:val="346648FD"/>
    <w:rsid w:val="45A10523"/>
    <w:rsid w:val="4A5A6A3B"/>
    <w:rsid w:val="52DA5A3F"/>
    <w:rsid w:val="59F377D3"/>
    <w:rsid w:val="64F35C2B"/>
    <w:rsid w:val="65B872D4"/>
    <w:rsid w:val="731656BB"/>
    <w:rsid w:val="73CF2D7B"/>
    <w:rsid w:val="76D06798"/>
    <w:rsid w:val="789715EC"/>
    <w:rsid w:val="7F46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styleId="6">
    <w:name w:val="Hyperlink"/>
    <w:basedOn w:val="5"/>
    <w:unhideWhenUsed/>
    <w:uiPriority w:val="99"/>
    <w:rPr>
      <w:color w:val="0000FF" w:themeColor="hyperlink"/>
      <w:u w:val="single"/>
    </w:rPr>
  </w:style>
  <w:style w:type="character" w:customStyle="1" w:styleId="7">
    <w:name w:val="页眉 Char"/>
    <w:basedOn w:val="5"/>
    <w:link w:val="3"/>
    <w:semiHidden/>
    <w:qFormat/>
    <w:uiPriority w:val="99"/>
    <w:rPr>
      <w:rFonts w:ascii="Tahoma" w:hAnsi="Tahoma"/>
      <w:sz w:val="18"/>
      <w:szCs w:val="18"/>
    </w:rPr>
  </w:style>
  <w:style w:type="character" w:customStyle="1" w:styleId="8">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3279</Words>
  <Characters>3452</Characters>
  <Lines>26</Lines>
  <Paragraphs>7</Paragraphs>
  <TotalTime>5</TotalTime>
  <ScaleCrop>false</ScaleCrop>
  <LinksUpToDate>false</LinksUpToDate>
  <CharactersWithSpaces>3558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2023-04-24T03:07:00Z</dcterms:created>
  <dc:creator>Administrator</dc:creator>
  <cp:lastModifiedBy>Lenovo</cp:lastModifiedBy>
  <cp:lastPrinted>2023-04-24T03:07:00Z</cp:lastPrinted>
  <dcterms:modified xsi:type="dcterms:W3CDTF">2023-04-25T10:30:48Z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C264E2E626C640159B397E24E75A99A6</vt:lpwstr>
  </property>
</Properties>
</file>