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E66AC">
      <w:pPr>
        <w:pStyle w:val="13"/>
        <w:numPr>
          <w:ilvl w:val="0"/>
          <w:numId w:val="0"/>
        </w:numPr>
        <w:ind w:firstLine="420"/>
        <w:jc w:val="center"/>
        <w:rPr>
          <w:rFonts w:hint="eastAsia" w:asciiTheme="minorEastAsia" w:hAnsiTheme="minorEastAsia" w:eastAsiaTheme="minorEastAsia" w:cstheme="minorBidi"/>
          <w:szCs w:val="24"/>
        </w:rPr>
      </w:pPr>
      <w:bookmarkStart w:id="0" w:name="_Toc95745619"/>
      <w:r>
        <w:rPr>
          <w:rFonts w:hint="eastAsia" w:eastAsiaTheme="minorEastAsia"/>
          <w:szCs w:val="24"/>
        </w:rPr>
        <w:t>利旧机房</w:t>
      </w:r>
      <w:r>
        <w:rPr>
          <w:rFonts w:eastAsiaTheme="minorEastAsia"/>
          <w:szCs w:val="24"/>
        </w:rPr>
        <w:t>云桌面</w:t>
      </w:r>
      <w:r>
        <w:rPr>
          <w:rFonts w:hint="eastAsia" w:eastAsiaTheme="minorEastAsia"/>
          <w:szCs w:val="24"/>
        </w:rPr>
        <w:t>方案</w:t>
      </w:r>
      <w:bookmarkEnd w:id="0"/>
    </w:p>
    <w:p w14:paraId="75D5686C">
      <w:pPr>
        <w:pStyle w:val="12"/>
        <w:numPr>
          <w:ilvl w:val="0"/>
          <w:numId w:val="2"/>
        </w:numPr>
        <w:outlineLvl w:val="1"/>
        <w:rPr>
          <w:rFonts w:asciiTheme="minorEastAsia" w:hAnsiTheme="minorEastAsia" w:eastAsiaTheme="minorEastAsia"/>
          <w:b/>
          <w:bCs/>
          <w:vanish/>
          <w:szCs w:val="24"/>
          <w:shd w:val="clear" w:color="auto" w:fill="FFFFFF"/>
        </w:rPr>
      </w:pPr>
      <w:bookmarkStart w:id="1" w:name="_Toc95566512"/>
      <w:bookmarkEnd w:id="1"/>
      <w:bookmarkStart w:id="2" w:name="_Toc95744442"/>
      <w:bookmarkEnd w:id="2"/>
      <w:bookmarkStart w:id="3" w:name="_Toc95745620"/>
      <w:bookmarkEnd w:id="3"/>
      <w:bookmarkStart w:id="4" w:name="_Toc3555737"/>
      <w:bookmarkStart w:id="5" w:name="_Toc356572443"/>
    </w:p>
    <w:p w14:paraId="69A2B20A">
      <w:pPr>
        <w:pStyle w:val="13"/>
        <w:rPr>
          <w:rFonts w:eastAsiaTheme="minorEastAsia"/>
          <w:sz w:val="24"/>
          <w:szCs w:val="24"/>
        </w:rPr>
      </w:pPr>
      <w:r>
        <w:rPr>
          <w:rFonts w:hint="eastAsia" w:eastAsiaTheme="minorEastAsia"/>
          <w:sz w:val="24"/>
          <w:szCs w:val="24"/>
        </w:rPr>
        <w:t xml:space="preserve"> </w:t>
      </w:r>
      <w:bookmarkStart w:id="6" w:name="_Toc95745621"/>
      <w:r>
        <w:rPr>
          <w:rFonts w:hint="eastAsia" w:eastAsiaTheme="minorEastAsia"/>
          <w:sz w:val="24"/>
          <w:szCs w:val="24"/>
        </w:rPr>
        <w:t>网络架构设计</w:t>
      </w:r>
      <w:bookmarkEnd w:id="4"/>
      <w:bookmarkEnd w:id="5"/>
      <w:bookmarkEnd w:id="6"/>
    </w:p>
    <w:p w14:paraId="77053123">
      <w:pPr>
        <w:numPr>
          <w:ilvl w:val="0"/>
          <w:numId w:val="3"/>
        </w:numPr>
        <w:ind w:left="0" w:firstLine="480"/>
        <w:rPr>
          <w:rFonts w:asciiTheme="minorEastAsia" w:hAnsiTheme="minorEastAsia" w:eastAsiaTheme="minorEastAsia" w:cstheme="minorBidi"/>
          <w:szCs w:val="24"/>
          <w:lang w:val="zh-CN"/>
        </w:rPr>
      </w:pPr>
      <w:r>
        <w:rPr>
          <w:rFonts w:hint="eastAsia" w:asciiTheme="minorEastAsia" w:hAnsiTheme="minorEastAsia" w:eastAsiaTheme="minorEastAsia" w:cstheme="minorBidi"/>
          <w:szCs w:val="24"/>
          <w:lang w:val="zh-CN"/>
        </w:rPr>
        <w:t>根据前述的需求分析、设计原则，以及总体架构的要求，每间教室拓扑图如下所示：</w:t>
      </w:r>
    </w:p>
    <w:p w14:paraId="2CB7EB74">
      <w:pPr>
        <w:snapToGrid w:val="0"/>
        <w:jc w:val="center"/>
        <w:rPr>
          <w:rFonts w:cs="Arial" w:asciiTheme="minorEastAsia" w:hAnsiTheme="minorEastAsia" w:eastAsiaTheme="minorEastAsia"/>
          <w:color w:val="000000"/>
          <w:szCs w:val="24"/>
        </w:rPr>
      </w:pPr>
      <w:r>
        <w:rPr>
          <w:rFonts w:asciiTheme="minorEastAsia" w:hAnsiTheme="minorEastAsia" w:eastAsiaTheme="minorEastAsia"/>
          <w:szCs w:val="24"/>
        </w:rPr>
        <w:drawing>
          <wp:inline distT="0" distB="0" distL="0" distR="0">
            <wp:extent cx="5274310" cy="315531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3155315"/>
                    </a:xfrm>
                    <a:prstGeom prst="rect">
                      <a:avLst/>
                    </a:prstGeom>
                  </pic:spPr>
                </pic:pic>
              </a:graphicData>
            </a:graphic>
          </wp:inline>
        </w:drawing>
      </w:r>
    </w:p>
    <w:p w14:paraId="7EE2BF3A">
      <w:pPr>
        <w:tabs>
          <w:tab w:val="left" w:pos="-720"/>
          <w:tab w:val="left" w:pos="0"/>
          <w:tab w:val="left" w:pos="720"/>
          <w:tab w:val="left" w:pos="1440"/>
          <w:tab w:val="left" w:pos="2160"/>
          <w:tab w:val="left" w:pos="2880"/>
          <w:tab w:val="left" w:pos="3600"/>
          <w:tab w:val="left" w:pos="4320"/>
        </w:tabs>
        <w:autoSpaceDE w:val="0"/>
        <w:autoSpaceDN w:val="0"/>
        <w:adjustRightInd w:val="0"/>
        <w:ind w:firstLine="480"/>
        <w:jc w:val="left"/>
        <w:rPr>
          <w:rFonts w:asciiTheme="minorEastAsia" w:hAnsiTheme="minorEastAsia" w:eastAsiaTheme="minorEastAsia" w:cstheme="minorBidi"/>
          <w:szCs w:val="24"/>
          <w:lang w:val="en-GB"/>
        </w:rPr>
      </w:pPr>
      <w:r>
        <w:rPr>
          <w:rFonts w:hint="eastAsia" w:asciiTheme="minorEastAsia" w:hAnsiTheme="minorEastAsia" w:eastAsiaTheme="minorEastAsia" w:cstheme="minorBidi"/>
          <w:szCs w:val="24"/>
          <w:lang w:val="en-GB"/>
        </w:rPr>
        <w:t>如上图，每个教学机房从</w:t>
      </w:r>
      <w:r>
        <w:rPr>
          <w:rFonts w:hint="eastAsia" w:asciiTheme="minorEastAsia" w:hAnsiTheme="minorEastAsia" w:eastAsiaTheme="minorEastAsia" w:cstheme="minorBidi"/>
          <w:szCs w:val="24"/>
        </w:rPr>
        <w:t>终端</w:t>
      </w:r>
      <w:r>
        <w:rPr>
          <w:rFonts w:hint="eastAsia" w:asciiTheme="minorEastAsia" w:hAnsiTheme="minorEastAsia" w:eastAsiaTheme="minorEastAsia" w:cstheme="minorBidi"/>
          <w:szCs w:val="24"/>
          <w:lang w:val="en-GB"/>
        </w:rPr>
        <w:t>入手，分为</w:t>
      </w:r>
      <w:r>
        <w:rPr>
          <w:rFonts w:hint="eastAsia" w:asciiTheme="minorEastAsia" w:hAnsiTheme="minorEastAsia" w:eastAsiaTheme="minorEastAsia" w:cstheme="minorBidi"/>
          <w:szCs w:val="24"/>
        </w:rPr>
        <w:t>3</w:t>
      </w:r>
      <w:r>
        <w:rPr>
          <w:rFonts w:hint="eastAsia" w:asciiTheme="minorEastAsia" w:hAnsiTheme="minorEastAsia" w:eastAsiaTheme="minorEastAsia" w:cstheme="minorBidi"/>
          <w:szCs w:val="24"/>
          <w:lang w:val="en-GB"/>
        </w:rPr>
        <w:t>个部分，云</w:t>
      </w:r>
      <w:r>
        <w:rPr>
          <w:rFonts w:hint="eastAsia" w:asciiTheme="minorEastAsia" w:hAnsiTheme="minorEastAsia" w:eastAsiaTheme="minorEastAsia" w:cstheme="minorBidi"/>
          <w:szCs w:val="24"/>
        </w:rPr>
        <w:t>终端</w:t>
      </w:r>
      <w:r>
        <w:rPr>
          <w:rFonts w:hint="eastAsia" w:asciiTheme="minorEastAsia" w:hAnsiTheme="minorEastAsia" w:eastAsiaTheme="minorEastAsia" w:cstheme="minorBidi"/>
          <w:szCs w:val="24"/>
          <w:lang w:val="en-GB"/>
        </w:rPr>
        <w:t>区、云主机区和校园网链路，三个区域用千兆接入式连接。</w:t>
      </w:r>
    </w:p>
    <w:p w14:paraId="46771555">
      <w:pPr>
        <w:tabs>
          <w:tab w:val="left" w:pos="-720"/>
          <w:tab w:val="left" w:pos="0"/>
          <w:tab w:val="left" w:pos="720"/>
          <w:tab w:val="left" w:pos="1440"/>
          <w:tab w:val="left" w:pos="2160"/>
          <w:tab w:val="left" w:pos="2880"/>
          <w:tab w:val="left" w:pos="3600"/>
          <w:tab w:val="left" w:pos="4320"/>
        </w:tabs>
        <w:autoSpaceDE w:val="0"/>
        <w:autoSpaceDN w:val="0"/>
        <w:adjustRightInd w:val="0"/>
        <w:ind w:firstLine="480"/>
        <w:jc w:val="left"/>
        <w:rPr>
          <w:rFonts w:asciiTheme="minorEastAsia" w:hAnsiTheme="minorEastAsia" w:eastAsiaTheme="minorEastAsia" w:cstheme="minorBidi"/>
          <w:szCs w:val="24"/>
          <w:lang w:val="en-GB"/>
        </w:rPr>
      </w:pPr>
      <w:r>
        <w:rPr>
          <w:rFonts w:hint="eastAsia" w:asciiTheme="minorEastAsia" w:hAnsiTheme="minorEastAsia" w:eastAsiaTheme="minorEastAsia" w:cstheme="minorBidi"/>
          <w:szCs w:val="24"/>
          <w:lang w:val="en-GB"/>
        </w:rPr>
        <w:t>方案实现效果如下：</w:t>
      </w:r>
    </w:p>
    <w:p w14:paraId="6BF824BB">
      <w:pPr>
        <w:tabs>
          <w:tab w:val="left" w:pos="-720"/>
          <w:tab w:val="left" w:pos="0"/>
          <w:tab w:val="left" w:pos="720"/>
          <w:tab w:val="left" w:pos="1440"/>
          <w:tab w:val="left" w:pos="2160"/>
          <w:tab w:val="left" w:pos="2880"/>
          <w:tab w:val="left" w:pos="3600"/>
          <w:tab w:val="left" w:pos="4320"/>
        </w:tabs>
        <w:autoSpaceDE w:val="0"/>
        <w:autoSpaceDN w:val="0"/>
        <w:adjustRightInd w:val="0"/>
        <w:ind w:firstLine="480"/>
        <w:jc w:val="left"/>
        <w:rPr>
          <w:rFonts w:asciiTheme="minorEastAsia" w:hAnsiTheme="minorEastAsia" w:eastAsiaTheme="minorEastAsia" w:cstheme="minorBidi"/>
          <w:szCs w:val="24"/>
          <w:lang w:val="en-GB"/>
        </w:rPr>
      </w:pPr>
      <w:r>
        <w:rPr>
          <w:rFonts w:hint="eastAsia" w:asciiTheme="minorEastAsia" w:hAnsiTheme="minorEastAsia" w:eastAsiaTheme="minorEastAsia" w:cstheme="minorBidi"/>
          <w:szCs w:val="24"/>
          <w:lang w:val="en-GB"/>
        </w:rPr>
        <w:t>第一步，</w:t>
      </w:r>
      <w:r>
        <w:rPr>
          <w:rFonts w:hint="eastAsia" w:asciiTheme="minorEastAsia" w:hAnsiTheme="minorEastAsia" w:eastAsiaTheme="minorEastAsia" w:cstheme="minorBidi"/>
          <w:szCs w:val="24"/>
        </w:rPr>
        <w:t>任课老师</w:t>
      </w:r>
      <w:r>
        <w:rPr>
          <w:rFonts w:hint="eastAsia" w:asciiTheme="minorEastAsia" w:hAnsiTheme="minorEastAsia" w:eastAsiaTheme="minorEastAsia" w:cstheme="minorBidi"/>
          <w:szCs w:val="24"/>
          <w:lang w:val="en-GB"/>
        </w:rPr>
        <w:t>在教室内教师</w:t>
      </w:r>
      <w:r>
        <w:rPr>
          <w:rFonts w:hint="eastAsia" w:asciiTheme="minorEastAsia" w:hAnsiTheme="minorEastAsia" w:eastAsiaTheme="minorEastAsia" w:cstheme="minorBidi"/>
          <w:szCs w:val="24"/>
        </w:rPr>
        <w:t>端</w:t>
      </w:r>
      <w:r>
        <w:rPr>
          <w:rFonts w:hint="eastAsia" w:asciiTheme="minorEastAsia" w:hAnsiTheme="minorEastAsia" w:eastAsiaTheme="minorEastAsia" w:cstheme="minorBidi"/>
          <w:szCs w:val="24"/>
          <w:lang w:val="en-GB"/>
        </w:rPr>
        <w:t>发起请求，连接至</w:t>
      </w:r>
      <w:r>
        <w:rPr>
          <w:rFonts w:hint="eastAsia" w:asciiTheme="minorEastAsia" w:hAnsiTheme="minorEastAsia" w:eastAsiaTheme="minorEastAsia" w:cstheme="minorBidi"/>
          <w:szCs w:val="24"/>
        </w:rPr>
        <w:t>云主机</w:t>
      </w:r>
      <w:r>
        <w:rPr>
          <w:rFonts w:hint="eastAsia" w:asciiTheme="minorEastAsia" w:hAnsiTheme="minorEastAsia" w:eastAsiaTheme="minorEastAsia" w:cstheme="minorBidi"/>
          <w:szCs w:val="24"/>
          <w:lang w:val="en-GB"/>
        </w:rPr>
        <w:t>，通过制作好的课程镜像批量生成虚拟桌面，并通过教学管理软件进行课堂教学，如屏幕广播、语音广播等功能。</w:t>
      </w:r>
    </w:p>
    <w:p w14:paraId="211B3AFA">
      <w:pPr>
        <w:tabs>
          <w:tab w:val="left" w:pos="-720"/>
          <w:tab w:val="left" w:pos="0"/>
          <w:tab w:val="left" w:pos="720"/>
          <w:tab w:val="left" w:pos="1440"/>
          <w:tab w:val="left" w:pos="2160"/>
          <w:tab w:val="left" w:pos="2880"/>
          <w:tab w:val="left" w:pos="3600"/>
          <w:tab w:val="left" w:pos="4320"/>
        </w:tabs>
        <w:autoSpaceDE w:val="0"/>
        <w:autoSpaceDN w:val="0"/>
        <w:adjustRightInd w:val="0"/>
        <w:ind w:firstLine="480"/>
        <w:jc w:val="left"/>
        <w:rPr>
          <w:rFonts w:asciiTheme="minorEastAsia" w:hAnsiTheme="minorEastAsia" w:eastAsiaTheme="minorEastAsia" w:cstheme="minorBidi"/>
          <w:szCs w:val="24"/>
          <w:lang w:val="en-GB"/>
        </w:rPr>
      </w:pPr>
      <w:r>
        <w:rPr>
          <w:rFonts w:hint="eastAsia" w:asciiTheme="minorEastAsia" w:hAnsiTheme="minorEastAsia" w:eastAsiaTheme="minorEastAsia" w:cstheme="minorBidi"/>
          <w:szCs w:val="24"/>
          <w:lang w:val="en-GB"/>
        </w:rPr>
        <w:t>第二步，云主机将生成的虚拟桌面推送到</w:t>
      </w:r>
      <w:r>
        <w:rPr>
          <w:rFonts w:hint="eastAsia" w:asciiTheme="minorEastAsia" w:hAnsiTheme="minorEastAsia" w:eastAsiaTheme="minorEastAsia" w:cstheme="minorBidi"/>
          <w:szCs w:val="24"/>
        </w:rPr>
        <w:t>云</w:t>
      </w:r>
      <w:r>
        <w:rPr>
          <w:rFonts w:hint="eastAsia" w:asciiTheme="minorEastAsia" w:hAnsiTheme="minorEastAsia" w:eastAsiaTheme="minorEastAsia" w:cstheme="minorBidi"/>
          <w:szCs w:val="24"/>
          <w:lang w:val="en-GB"/>
        </w:rPr>
        <w:t>终端。</w:t>
      </w:r>
    </w:p>
    <w:p w14:paraId="3607D705">
      <w:pPr>
        <w:ind w:firstLine="480"/>
        <w:jc w:val="left"/>
        <w:rPr>
          <w:rFonts w:asciiTheme="minorEastAsia" w:hAnsiTheme="minorEastAsia" w:eastAsiaTheme="minorEastAsia" w:cstheme="minorBidi"/>
          <w:szCs w:val="24"/>
          <w:lang w:val="en-GB"/>
        </w:rPr>
      </w:pPr>
      <w:r>
        <w:rPr>
          <w:rFonts w:hint="eastAsia" w:asciiTheme="minorEastAsia" w:hAnsiTheme="minorEastAsia" w:eastAsiaTheme="minorEastAsia" w:cstheme="minorBidi"/>
          <w:szCs w:val="24"/>
          <w:lang w:val="en-GB"/>
        </w:rPr>
        <w:t>第三步，学生打开云终端即可获得虚拟桌面，直接使用虚拟机上课或访问校园网系统。</w:t>
      </w:r>
    </w:p>
    <w:p w14:paraId="6DEEE2A7">
      <w:pPr>
        <w:ind w:firstLine="480"/>
        <w:jc w:val="left"/>
        <w:rPr>
          <w:rFonts w:asciiTheme="minorEastAsia" w:hAnsiTheme="minorEastAsia" w:eastAsiaTheme="minorEastAsia" w:cstheme="minorBidi"/>
          <w:szCs w:val="24"/>
          <w:lang w:val="en-GB"/>
        </w:rPr>
      </w:pPr>
      <w:r>
        <w:rPr>
          <w:rFonts w:hint="eastAsia" w:asciiTheme="minorEastAsia" w:hAnsiTheme="minorEastAsia" w:eastAsiaTheme="minorEastAsia" w:cstheme="minorBidi"/>
          <w:szCs w:val="24"/>
          <w:lang w:val="en-GB"/>
        </w:rPr>
        <w:t>第四步，</w:t>
      </w:r>
      <w:r>
        <w:rPr>
          <w:rFonts w:hint="eastAsia" w:asciiTheme="minorEastAsia" w:hAnsiTheme="minorEastAsia" w:eastAsiaTheme="minorEastAsia" w:cstheme="minorBidi"/>
          <w:szCs w:val="24"/>
        </w:rPr>
        <w:t>任课老师</w:t>
      </w:r>
      <w:r>
        <w:rPr>
          <w:rFonts w:hint="eastAsia" w:asciiTheme="minorEastAsia" w:hAnsiTheme="minorEastAsia" w:eastAsiaTheme="minorEastAsia" w:cstheme="minorBidi"/>
          <w:szCs w:val="24"/>
          <w:lang w:val="en-GB"/>
        </w:rPr>
        <w:t>点击“下课”按钮即可结束课程，所有虚拟机会被依次删除，为下节课做好准备。</w:t>
      </w:r>
    </w:p>
    <w:p w14:paraId="240D44D7">
      <w:pPr>
        <w:spacing w:after="156"/>
        <w:ind w:firstLine="420"/>
        <w:jc w:val="left"/>
        <w:rPr>
          <w:rFonts w:asciiTheme="minorEastAsia" w:hAnsiTheme="minorEastAsia" w:eastAsiaTheme="minorEastAsia" w:cstheme="minorBidi"/>
          <w:szCs w:val="24"/>
        </w:rPr>
      </w:pPr>
      <w:r>
        <w:rPr>
          <w:rFonts w:hint="eastAsia" w:asciiTheme="minorEastAsia" w:hAnsiTheme="minorEastAsia" w:eastAsiaTheme="minorEastAsia" w:cstheme="minorBidi"/>
          <w:szCs w:val="24"/>
          <w:lang w:val="en-GB"/>
        </w:rPr>
        <w:t>按此四步依次循环，老师和学生即可轻松获得一节生动的教学课程。以下将详细描述典型整体架构中的三个组成区域模块。</w:t>
      </w:r>
    </w:p>
    <w:p w14:paraId="750EC37F">
      <w:pPr>
        <w:pStyle w:val="13"/>
        <w:rPr>
          <w:rFonts w:eastAsiaTheme="minorEastAsia"/>
          <w:sz w:val="24"/>
          <w:szCs w:val="24"/>
        </w:rPr>
      </w:pPr>
      <w:bookmarkStart w:id="7" w:name="_Toc3555738"/>
      <w:bookmarkStart w:id="8" w:name="_Toc95745622"/>
      <w:bookmarkStart w:id="9" w:name="_Toc356572444"/>
      <w:r>
        <w:rPr>
          <w:rFonts w:hint="eastAsia" w:eastAsiaTheme="minorEastAsia"/>
          <w:sz w:val="24"/>
          <w:szCs w:val="24"/>
        </w:rPr>
        <w:t>云主机区域模块设计</w:t>
      </w:r>
      <w:bookmarkEnd w:id="7"/>
      <w:bookmarkEnd w:id="8"/>
      <w:bookmarkEnd w:id="9"/>
    </w:p>
    <w:p w14:paraId="3C58579F">
      <w:pPr>
        <w:ind w:firstLine="480"/>
        <w:rPr>
          <w:rFonts w:asciiTheme="minorEastAsia" w:hAnsiTheme="minorEastAsia" w:eastAsiaTheme="minorEastAsia" w:cstheme="minorBidi"/>
          <w:szCs w:val="24"/>
        </w:rPr>
      </w:pPr>
      <w:r>
        <w:rPr>
          <w:rFonts w:hint="eastAsia" w:asciiTheme="minorEastAsia" w:hAnsiTheme="minorEastAsia" w:eastAsiaTheme="minorEastAsia" w:cstheme="minorBidi"/>
          <w:szCs w:val="24"/>
        </w:rPr>
        <w:t>根据业务要求选择合适的云主机配置，云主机要求是企业级设备，内置顶级处</w:t>
      </w:r>
      <w:r>
        <w:rPr>
          <w:rFonts w:asciiTheme="minorEastAsia" w:hAnsiTheme="minorEastAsia" w:eastAsiaTheme="minorEastAsia" w:cstheme="minorBidi"/>
          <w:szCs w:val="24"/>
        </w:rPr>
        <w:t>理器、</w:t>
      </w:r>
      <w:r>
        <w:rPr>
          <w:rFonts w:hint="eastAsia" w:asciiTheme="minorEastAsia" w:hAnsiTheme="minorEastAsia" w:eastAsiaTheme="minorEastAsia" w:cstheme="minorBidi"/>
          <w:szCs w:val="24"/>
        </w:rPr>
        <w:t>企业级存储配件</w:t>
      </w:r>
      <w:r>
        <w:rPr>
          <w:rFonts w:asciiTheme="minorEastAsia" w:hAnsiTheme="minorEastAsia" w:eastAsiaTheme="minorEastAsia" w:cstheme="minorBidi"/>
          <w:szCs w:val="24"/>
        </w:rPr>
        <w:t>、</w:t>
      </w:r>
      <w:r>
        <w:rPr>
          <w:rFonts w:hint="eastAsia" w:asciiTheme="minorEastAsia" w:hAnsiTheme="minorEastAsia" w:eastAsiaTheme="minorEastAsia" w:cstheme="minorBidi"/>
          <w:szCs w:val="24"/>
        </w:rPr>
        <w:t>海量</w:t>
      </w:r>
      <w:r>
        <w:rPr>
          <w:rFonts w:asciiTheme="minorEastAsia" w:hAnsiTheme="minorEastAsia" w:eastAsiaTheme="minorEastAsia" w:cstheme="minorBidi"/>
          <w:szCs w:val="24"/>
        </w:rPr>
        <w:t>内存</w:t>
      </w:r>
      <w:r>
        <w:rPr>
          <w:rFonts w:hint="eastAsia" w:asciiTheme="minorEastAsia" w:hAnsiTheme="minorEastAsia" w:eastAsiaTheme="minorEastAsia" w:cstheme="minorBidi"/>
          <w:szCs w:val="24"/>
        </w:rPr>
        <w:t>、G</w:t>
      </w:r>
      <w:r>
        <w:rPr>
          <w:rFonts w:asciiTheme="minorEastAsia" w:hAnsiTheme="minorEastAsia" w:eastAsiaTheme="minorEastAsia" w:cstheme="minorBidi"/>
          <w:szCs w:val="24"/>
        </w:rPr>
        <w:t>PU</w:t>
      </w:r>
      <w:r>
        <w:rPr>
          <w:rFonts w:hint="eastAsia" w:asciiTheme="minorEastAsia" w:hAnsiTheme="minorEastAsia" w:eastAsiaTheme="minorEastAsia" w:cstheme="minorBidi"/>
          <w:szCs w:val="24"/>
        </w:rPr>
        <w:t>专业图形显卡</w:t>
      </w:r>
      <w:r>
        <w:rPr>
          <w:rFonts w:asciiTheme="minorEastAsia" w:hAnsiTheme="minorEastAsia" w:eastAsiaTheme="minorEastAsia" w:cstheme="minorBidi"/>
          <w:szCs w:val="24"/>
        </w:rPr>
        <w:t>和</w:t>
      </w:r>
      <w:r>
        <w:rPr>
          <w:rFonts w:hint="eastAsia" w:asciiTheme="minorEastAsia" w:hAnsiTheme="minorEastAsia" w:eastAsiaTheme="minorEastAsia" w:cstheme="minorBidi"/>
          <w:szCs w:val="24"/>
        </w:rPr>
        <w:t>课堂桌面云虚拟化平台，机箱采用全静音设计。</w:t>
      </w:r>
    </w:p>
    <w:p w14:paraId="3C9D27CD">
      <w:pPr>
        <w:pStyle w:val="12"/>
        <w:numPr>
          <w:ilvl w:val="0"/>
          <w:numId w:val="2"/>
        </w:numPr>
        <w:spacing w:line="480" w:lineRule="auto"/>
        <w:outlineLvl w:val="1"/>
        <w:rPr>
          <w:rFonts w:asciiTheme="minorEastAsia" w:hAnsiTheme="minorEastAsia" w:eastAsiaTheme="minorEastAsia"/>
          <w:b/>
          <w:bCs/>
          <w:vanish/>
          <w:szCs w:val="24"/>
          <w:shd w:val="clear" w:color="auto" w:fill="FFFFFF"/>
        </w:rPr>
      </w:pPr>
      <w:bookmarkStart w:id="10" w:name="_Toc95745623"/>
      <w:bookmarkStart w:id="11" w:name="_Toc3555739"/>
      <w:bookmarkStart w:id="12" w:name="_Toc356572445"/>
      <w:bookmarkStart w:id="13" w:name="_Toc350844248"/>
    </w:p>
    <w:p w14:paraId="6852C549">
      <w:pPr>
        <w:pStyle w:val="14"/>
        <w:ind w:left="426" w:hanging="568"/>
        <w:rPr>
          <w:rFonts w:asciiTheme="minorEastAsia" w:hAnsiTheme="minorEastAsia" w:eastAsiaTheme="minorEastAsia"/>
          <w:szCs w:val="24"/>
        </w:rPr>
      </w:pPr>
      <w:r>
        <w:rPr>
          <w:rFonts w:hint="eastAsia" w:asciiTheme="minorEastAsia" w:hAnsiTheme="minorEastAsia" w:eastAsiaTheme="minorEastAsia"/>
          <w:szCs w:val="24"/>
        </w:rPr>
        <w:t>云主机网络设计</w:t>
      </w:r>
      <w:bookmarkEnd w:id="10"/>
      <w:bookmarkEnd w:id="11"/>
      <w:bookmarkEnd w:id="12"/>
    </w:p>
    <w:p w14:paraId="69809300">
      <w:pPr>
        <w:ind w:firstLine="480"/>
        <w:rPr>
          <w:rFonts w:asciiTheme="minorEastAsia" w:hAnsiTheme="minorEastAsia" w:eastAsiaTheme="minorEastAsia" w:cstheme="minorBidi"/>
          <w:color w:val="000000"/>
          <w:szCs w:val="24"/>
        </w:rPr>
      </w:pPr>
      <w:bookmarkStart w:id="14" w:name="_Toc356572446"/>
      <w:r>
        <w:rPr>
          <w:rFonts w:hint="eastAsia" w:asciiTheme="minorEastAsia" w:hAnsiTheme="minorEastAsia" w:eastAsiaTheme="minorEastAsia" w:cstheme="minorBidi"/>
          <w:color w:val="000000"/>
          <w:szCs w:val="24"/>
        </w:rPr>
        <w:t>为保障云主机和终端之间虚拟化协议效果，在云主机网络配置中需采用千兆可网管交换机进行连通。云主机至少配置两个千兆网络端口，可配置聚合实现大带宽数据传输。</w:t>
      </w:r>
    </w:p>
    <w:p w14:paraId="1E82812D">
      <w:pPr>
        <w:ind w:firstLine="480"/>
        <w:jc w:val="left"/>
        <w:rPr>
          <w:rFonts w:asciiTheme="minorEastAsia" w:hAnsiTheme="minorEastAsia" w:eastAsiaTheme="minorEastAsia" w:cstheme="minorBidi"/>
          <w:szCs w:val="24"/>
        </w:rPr>
      </w:pPr>
      <w:r>
        <w:rPr>
          <w:rFonts w:hint="eastAsia" w:asciiTheme="minorEastAsia" w:hAnsiTheme="minorEastAsia" w:eastAsiaTheme="minorEastAsia" w:cstheme="minorBidi"/>
          <w:szCs w:val="24"/>
        </w:rPr>
        <w:t>根据机房中上课的课程内容需求，云主机和云终端间虚拟化协议设计以及带宽要求如下：</w:t>
      </w:r>
    </w:p>
    <w:p w14:paraId="3308CDC2">
      <w:pPr>
        <w:ind w:firstLine="480"/>
        <w:jc w:val="left"/>
        <w:rPr>
          <w:rFonts w:asciiTheme="minorEastAsia" w:hAnsiTheme="minorEastAsia" w:eastAsiaTheme="minorEastAsia" w:cstheme="minorBidi"/>
          <w:szCs w:val="24"/>
        </w:rPr>
      </w:pPr>
      <w:r>
        <w:rPr>
          <w:rFonts w:hint="eastAsia" w:asciiTheme="minorEastAsia" w:hAnsiTheme="minorEastAsia" w:eastAsiaTheme="minorEastAsia" w:cstheme="minorBidi"/>
          <w:szCs w:val="24"/>
        </w:rPr>
        <w:t>基础教学课程桌面：50kbps</w:t>
      </w:r>
    </w:p>
    <w:p w14:paraId="12638F89">
      <w:pPr>
        <w:ind w:firstLine="480"/>
        <w:jc w:val="left"/>
        <w:rPr>
          <w:rFonts w:asciiTheme="minorEastAsia" w:hAnsiTheme="minorEastAsia" w:eastAsiaTheme="minorEastAsia" w:cstheme="minorBidi"/>
          <w:szCs w:val="24"/>
        </w:rPr>
      </w:pPr>
      <w:r>
        <w:rPr>
          <w:rFonts w:hint="eastAsia" w:asciiTheme="minorEastAsia" w:hAnsiTheme="minorEastAsia" w:eastAsiaTheme="minorEastAsia" w:cstheme="minorBidi"/>
          <w:szCs w:val="24"/>
        </w:rPr>
        <w:t>上机考试场景桌面：100kbps</w:t>
      </w:r>
    </w:p>
    <w:p w14:paraId="513A94D7">
      <w:pPr>
        <w:ind w:firstLine="480"/>
        <w:jc w:val="left"/>
        <w:rPr>
          <w:rFonts w:asciiTheme="minorEastAsia" w:hAnsiTheme="minorEastAsia" w:eastAsiaTheme="minorEastAsia" w:cstheme="minorBidi"/>
          <w:szCs w:val="24"/>
        </w:rPr>
      </w:pPr>
      <w:r>
        <w:rPr>
          <w:rFonts w:hint="eastAsia" w:asciiTheme="minorEastAsia" w:hAnsiTheme="minorEastAsia" w:eastAsiaTheme="minorEastAsia" w:cstheme="minorBidi"/>
          <w:szCs w:val="24"/>
        </w:rPr>
        <w:t>图形视频类制作的教学课程桌面：150k~500kbps</w:t>
      </w:r>
    </w:p>
    <w:p w14:paraId="239D2F24">
      <w:pPr>
        <w:autoSpaceDE w:val="0"/>
        <w:autoSpaceDN w:val="0"/>
        <w:adjustRightInd w:val="0"/>
        <w:ind w:firstLine="420"/>
        <w:jc w:val="left"/>
        <w:rPr>
          <w:rFonts w:asciiTheme="minorEastAsia" w:hAnsiTheme="minorEastAsia" w:eastAsiaTheme="minorEastAsia"/>
          <w:szCs w:val="24"/>
        </w:rPr>
      </w:pPr>
      <w:r>
        <w:rPr>
          <w:rFonts w:hint="eastAsia" w:asciiTheme="minorEastAsia" w:hAnsiTheme="minorEastAsia" w:eastAsiaTheme="minorEastAsia"/>
          <w:szCs w:val="24"/>
        </w:rPr>
        <w:t>选择优秀的虚拟化传输协议能提供更好的性能和用户体验，能以极低资源交付高性能的虚拟桌面传输协议。该协议除图形显示输出、键盘输入、用户接口设备、光标移动等专用通道外，还专门为视频解码和高质量音频还原作了大量优化，让学生感受身临其境的高清世界。</w:t>
      </w:r>
    </w:p>
    <w:p w14:paraId="78986A39">
      <w:pPr>
        <w:spacing w:after="163" w:afterLines="50"/>
        <w:ind w:firstLine="420"/>
        <w:jc w:val="left"/>
        <w:rPr>
          <w:rFonts w:asciiTheme="minorEastAsia" w:hAnsiTheme="minorEastAsia" w:eastAsiaTheme="minorEastAsia"/>
          <w:szCs w:val="24"/>
        </w:rPr>
      </w:pPr>
      <w:r>
        <w:rPr>
          <w:rFonts w:hint="eastAsia" w:asciiTheme="minorEastAsia" w:hAnsiTheme="minorEastAsia" w:eastAsiaTheme="minorEastAsia"/>
          <w:szCs w:val="24"/>
        </w:rPr>
        <w:t>虚拟化协议高性能应用要求：</w:t>
      </w:r>
    </w:p>
    <w:p w14:paraId="5142638B">
      <w:pPr>
        <w:numPr>
          <w:ilvl w:val="0"/>
          <w:numId w:val="4"/>
        </w:numPr>
        <w:spacing w:after="163" w:afterLines="50"/>
        <w:jc w:val="left"/>
        <w:rPr>
          <w:rFonts w:asciiTheme="minorEastAsia" w:hAnsiTheme="minorEastAsia" w:eastAsiaTheme="minorEastAsia"/>
          <w:szCs w:val="24"/>
        </w:rPr>
      </w:pPr>
      <w:r>
        <w:rPr>
          <w:rFonts w:hint="eastAsia" w:asciiTheme="minorEastAsia" w:hAnsiTheme="minorEastAsia" w:eastAsiaTheme="minorEastAsia"/>
          <w:szCs w:val="24"/>
        </w:rPr>
        <w:t>图形智能压缩，根据网络带宽自动调节画质</w:t>
      </w:r>
    </w:p>
    <w:p w14:paraId="0829A601">
      <w:pPr>
        <w:numPr>
          <w:ilvl w:val="0"/>
          <w:numId w:val="4"/>
        </w:numPr>
        <w:spacing w:after="163" w:afterLines="50"/>
        <w:jc w:val="left"/>
        <w:rPr>
          <w:rFonts w:asciiTheme="minorEastAsia" w:hAnsiTheme="minorEastAsia" w:eastAsiaTheme="minorEastAsia"/>
          <w:szCs w:val="24"/>
        </w:rPr>
      </w:pPr>
      <w:r>
        <w:rPr>
          <w:rFonts w:hint="eastAsia" w:asciiTheme="minorEastAsia" w:hAnsiTheme="minorEastAsia" w:eastAsiaTheme="minorEastAsia"/>
          <w:szCs w:val="24"/>
        </w:rPr>
        <w:t>自动终端侦测，根据终端资源智能调节画质，实现最佳用户体验</w:t>
      </w:r>
    </w:p>
    <w:p w14:paraId="17FDA452">
      <w:pPr>
        <w:numPr>
          <w:ilvl w:val="0"/>
          <w:numId w:val="4"/>
        </w:numPr>
        <w:spacing w:after="163" w:afterLines="50"/>
        <w:jc w:val="left"/>
        <w:rPr>
          <w:rFonts w:asciiTheme="minorEastAsia" w:hAnsiTheme="minorEastAsia" w:eastAsiaTheme="minorEastAsia"/>
          <w:szCs w:val="24"/>
        </w:rPr>
      </w:pPr>
      <w:r>
        <w:rPr>
          <w:rFonts w:hint="eastAsia" w:asciiTheme="minorEastAsia" w:hAnsiTheme="minorEastAsia" w:eastAsiaTheme="minorEastAsia"/>
          <w:szCs w:val="24"/>
        </w:rPr>
        <w:t>媒体流软解码，播放高清视频与音频（</w:t>
      </w:r>
      <w:r>
        <w:rPr>
          <w:rFonts w:asciiTheme="minorEastAsia" w:hAnsiTheme="minorEastAsia" w:eastAsiaTheme="minorEastAsia"/>
          <w:szCs w:val="24"/>
        </w:rPr>
        <w:t>1080</w:t>
      </w:r>
      <w:r>
        <w:rPr>
          <w:rFonts w:hint="eastAsia" w:asciiTheme="minorEastAsia" w:hAnsiTheme="minorEastAsia" w:eastAsiaTheme="minorEastAsia"/>
          <w:szCs w:val="24"/>
        </w:rPr>
        <w:t>P视频流畅）</w:t>
      </w:r>
    </w:p>
    <w:p w14:paraId="695AD195">
      <w:pPr>
        <w:numPr>
          <w:ilvl w:val="0"/>
          <w:numId w:val="4"/>
        </w:numPr>
        <w:spacing w:after="163" w:afterLines="50"/>
        <w:jc w:val="left"/>
        <w:rPr>
          <w:rFonts w:asciiTheme="minorEastAsia" w:hAnsiTheme="minorEastAsia" w:eastAsiaTheme="minorEastAsia"/>
          <w:szCs w:val="24"/>
        </w:rPr>
      </w:pPr>
      <w:r>
        <w:rPr>
          <w:rFonts w:hint="eastAsia" w:asciiTheme="minorEastAsia" w:hAnsiTheme="minorEastAsia" w:eastAsiaTheme="minorEastAsia"/>
          <w:szCs w:val="24"/>
        </w:rPr>
        <w:t>媒体流硬解码，播放高清视频与音频（MJpeg流）</w:t>
      </w:r>
    </w:p>
    <w:p w14:paraId="66F23EA2">
      <w:pPr>
        <w:numPr>
          <w:ilvl w:val="0"/>
          <w:numId w:val="4"/>
        </w:numPr>
        <w:spacing w:after="163" w:afterLines="50"/>
        <w:jc w:val="left"/>
        <w:rPr>
          <w:rFonts w:asciiTheme="minorEastAsia" w:hAnsiTheme="minorEastAsia" w:eastAsiaTheme="minorEastAsia"/>
          <w:szCs w:val="24"/>
        </w:rPr>
      </w:pPr>
      <w:r>
        <w:rPr>
          <w:rFonts w:hint="eastAsia" w:asciiTheme="minorEastAsia" w:hAnsiTheme="minorEastAsia" w:eastAsiaTheme="minorEastAsia"/>
          <w:szCs w:val="24"/>
        </w:rPr>
        <w:t>客户端鼠标硬件加速</w:t>
      </w:r>
    </w:p>
    <w:p w14:paraId="1AEAD9C5">
      <w:pPr>
        <w:numPr>
          <w:ilvl w:val="0"/>
          <w:numId w:val="4"/>
        </w:numPr>
        <w:spacing w:after="163" w:afterLines="50"/>
        <w:jc w:val="left"/>
        <w:rPr>
          <w:rFonts w:asciiTheme="minorEastAsia" w:hAnsiTheme="minorEastAsia" w:eastAsiaTheme="minorEastAsia"/>
          <w:szCs w:val="24"/>
        </w:rPr>
      </w:pPr>
      <w:r>
        <w:rPr>
          <w:rFonts w:hint="eastAsia" w:asciiTheme="minorEastAsia" w:hAnsiTheme="minorEastAsia" w:eastAsiaTheme="minorEastAsia"/>
          <w:szCs w:val="24"/>
        </w:rPr>
        <w:t>全外设重定向</w:t>
      </w:r>
    </w:p>
    <w:p w14:paraId="058BEE1F">
      <w:pPr>
        <w:numPr>
          <w:ilvl w:val="0"/>
          <w:numId w:val="4"/>
        </w:numPr>
        <w:spacing w:after="163" w:afterLines="50"/>
        <w:jc w:val="left"/>
        <w:rPr>
          <w:rFonts w:asciiTheme="minorEastAsia" w:hAnsiTheme="minorEastAsia" w:eastAsiaTheme="minorEastAsia"/>
          <w:szCs w:val="24"/>
        </w:rPr>
      </w:pPr>
      <w:r>
        <w:rPr>
          <w:rFonts w:hint="eastAsia" w:asciiTheme="minorEastAsia" w:hAnsiTheme="minorEastAsia" w:eastAsiaTheme="minorEastAsia"/>
          <w:szCs w:val="24"/>
        </w:rPr>
        <w:t>传输数据加密，EST所传输的图形或数据均经过加密，保障安全</w:t>
      </w:r>
    </w:p>
    <w:p w14:paraId="748F5E4C">
      <w:pPr>
        <w:ind w:firstLine="480"/>
        <w:jc w:val="left"/>
        <w:rPr>
          <w:rFonts w:asciiTheme="minorEastAsia" w:hAnsiTheme="minorEastAsia" w:eastAsiaTheme="minorEastAsia" w:cstheme="minorBidi"/>
          <w:szCs w:val="24"/>
        </w:rPr>
      </w:pPr>
      <w:r>
        <w:rPr>
          <w:rFonts w:hint="eastAsia" w:asciiTheme="minorEastAsia" w:hAnsiTheme="minorEastAsia" w:eastAsiaTheme="minorEastAsia" w:cstheme="minorBidi"/>
          <w:szCs w:val="24"/>
        </w:rPr>
        <w:t>按照上述方式来初步选择云主机网络接口带宽，相应交换机也按照上述方式选择。</w:t>
      </w:r>
    </w:p>
    <w:p w14:paraId="033D5933">
      <w:pPr>
        <w:pStyle w:val="14"/>
        <w:ind w:left="426" w:hanging="568"/>
        <w:rPr>
          <w:rFonts w:asciiTheme="minorEastAsia" w:hAnsiTheme="minorEastAsia" w:eastAsiaTheme="minorEastAsia"/>
          <w:szCs w:val="24"/>
        </w:rPr>
      </w:pPr>
      <w:bookmarkStart w:id="15" w:name="_Toc30710"/>
      <w:bookmarkStart w:id="16" w:name="_Toc3555740"/>
      <w:bookmarkStart w:id="17" w:name="_Toc95745625"/>
      <w:r>
        <w:rPr>
          <w:rFonts w:hint="eastAsia" w:asciiTheme="minorEastAsia" w:hAnsiTheme="minorEastAsia" w:eastAsiaTheme="minorEastAsia"/>
          <w:szCs w:val="24"/>
        </w:rPr>
        <w:t>云主机</w:t>
      </w:r>
      <w:bookmarkEnd w:id="15"/>
      <w:r>
        <w:rPr>
          <w:rFonts w:hint="eastAsia" w:asciiTheme="minorEastAsia" w:hAnsiTheme="minorEastAsia" w:eastAsiaTheme="minorEastAsia"/>
          <w:szCs w:val="24"/>
        </w:rPr>
        <w:t>选择原则</w:t>
      </w:r>
      <w:bookmarkEnd w:id="16"/>
      <w:bookmarkEnd w:id="17"/>
    </w:p>
    <w:p w14:paraId="1440E92A">
      <w:pPr>
        <w:spacing w:after="120"/>
        <w:ind w:firstLine="420"/>
        <w:jc w:val="left"/>
        <w:rPr>
          <w:rFonts w:asciiTheme="minorEastAsia" w:hAnsiTheme="minorEastAsia" w:eastAsiaTheme="minorEastAsia" w:cstheme="minorBidi"/>
          <w:szCs w:val="24"/>
        </w:rPr>
      </w:pPr>
      <w:r>
        <w:rPr>
          <w:rFonts w:hint="eastAsia" w:asciiTheme="minorEastAsia" w:hAnsiTheme="minorEastAsia" w:eastAsiaTheme="minorEastAsia" w:cstheme="minorBidi"/>
          <w:szCs w:val="24"/>
        </w:rPr>
        <w:t>根据学校建设机房数量和资源需求情况进行云主机选择：</w:t>
      </w:r>
    </w:p>
    <w:p w14:paraId="142DCED4">
      <w:pPr>
        <w:numPr>
          <w:ilvl w:val="0"/>
          <w:numId w:val="5"/>
        </w:numPr>
        <w:jc w:val="left"/>
        <w:rPr>
          <w:rFonts w:asciiTheme="minorEastAsia" w:hAnsiTheme="minorEastAsia" w:eastAsiaTheme="minorEastAsia" w:cstheme="minorBidi"/>
          <w:szCs w:val="24"/>
        </w:rPr>
      </w:pPr>
      <w:r>
        <w:rPr>
          <w:rFonts w:hint="eastAsia" w:asciiTheme="minorEastAsia" w:hAnsiTheme="minorEastAsia" w:eastAsiaTheme="minorEastAsia" w:cstheme="minorBidi"/>
          <w:szCs w:val="24"/>
        </w:rPr>
        <w:t>按常用的教学课程需求资源计算，基础桌面建议分配</w:t>
      </w:r>
      <w:r>
        <w:rPr>
          <w:rFonts w:asciiTheme="minorEastAsia" w:hAnsiTheme="minorEastAsia" w:eastAsiaTheme="minorEastAsia" w:cstheme="minorBidi"/>
          <w:szCs w:val="24"/>
        </w:rPr>
        <w:t>4</w:t>
      </w:r>
      <w:r>
        <w:rPr>
          <w:rFonts w:hint="eastAsia" w:asciiTheme="minorEastAsia" w:hAnsiTheme="minorEastAsia" w:eastAsiaTheme="minorEastAsia" w:cstheme="minorBidi"/>
          <w:szCs w:val="24"/>
        </w:rPr>
        <w:t>核、</w:t>
      </w:r>
      <w:r>
        <w:rPr>
          <w:rFonts w:asciiTheme="minorEastAsia" w:hAnsiTheme="minorEastAsia" w:eastAsiaTheme="minorEastAsia" w:cstheme="minorBidi"/>
          <w:szCs w:val="24"/>
        </w:rPr>
        <w:t>6</w:t>
      </w:r>
      <w:r>
        <w:rPr>
          <w:rFonts w:hint="eastAsia" w:asciiTheme="minorEastAsia" w:hAnsiTheme="minorEastAsia" w:eastAsiaTheme="minorEastAsia" w:cstheme="minorBidi"/>
          <w:szCs w:val="24"/>
        </w:rPr>
        <w:t>G内存，单教学镜像部署软件控制在</w:t>
      </w:r>
      <w:r>
        <w:rPr>
          <w:rFonts w:asciiTheme="minorEastAsia" w:hAnsiTheme="minorEastAsia" w:eastAsiaTheme="minorEastAsia" w:cstheme="minorBidi"/>
          <w:szCs w:val="24"/>
        </w:rPr>
        <w:t>40</w:t>
      </w:r>
      <w:r>
        <w:rPr>
          <w:rFonts w:hint="eastAsia" w:asciiTheme="minorEastAsia" w:hAnsiTheme="minorEastAsia" w:eastAsiaTheme="minorEastAsia" w:cstheme="minorBidi"/>
          <w:szCs w:val="24"/>
        </w:rPr>
        <w:t>G以内；另针对未来高性能桌面的需求，本次集群中单台服务器均满配了G</w:t>
      </w:r>
      <w:r>
        <w:rPr>
          <w:rFonts w:asciiTheme="minorEastAsia" w:hAnsiTheme="minorEastAsia" w:eastAsiaTheme="minorEastAsia" w:cstheme="minorBidi"/>
          <w:szCs w:val="24"/>
        </w:rPr>
        <w:t>PU</w:t>
      </w:r>
      <w:r>
        <w:rPr>
          <w:rFonts w:hint="eastAsia" w:asciiTheme="minorEastAsia" w:hAnsiTheme="minorEastAsia" w:eastAsiaTheme="minorEastAsia" w:cstheme="minorBidi"/>
          <w:szCs w:val="24"/>
        </w:rPr>
        <w:t>显卡。未来可根据情况，进行CPU和内存资源配置。</w:t>
      </w:r>
    </w:p>
    <w:p w14:paraId="13CED05B">
      <w:pPr>
        <w:numPr>
          <w:ilvl w:val="0"/>
          <w:numId w:val="5"/>
        </w:numPr>
        <w:jc w:val="left"/>
        <w:rPr>
          <w:rFonts w:asciiTheme="minorEastAsia" w:hAnsiTheme="minorEastAsia" w:eastAsiaTheme="minorEastAsia" w:cstheme="minorBidi"/>
          <w:szCs w:val="24"/>
        </w:rPr>
      </w:pPr>
      <w:r>
        <w:rPr>
          <w:rFonts w:hint="eastAsia" w:asciiTheme="minorEastAsia" w:hAnsiTheme="minorEastAsia" w:eastAsiaTheme="minorEastAsia" w:cstheme="minorBidi"/>
          <w:szCs w:val="24"/>
        </w:rPr>
        <w:t>考虑到新增教学软件部署情况对存储空间需求以及缓存的用户个性化配置及数据对存储空间的需求，初步按照虚拟机</w:t>
      </w:r>
      <w:r>
        <w:rPr>
          <w:rFonts w:asciiTheme="minorEastAsia" w:hAnsiTheme="minorEastAsia" w:eastAsiaTheme="minorEastAsia" w:cstheme="minorBidi"/>
          <w:szCs w:val="24"/>
        </w:rPr>
        <w:t>C</w:t>
      </w:r>
      <w:r>
        <w:rPr>
          <w:rFonts w:hint="eastAsia" w:asciiTheme="minorEastAsia" w:hAnsiTheme="minorEastAsia" w:eastAsiaTheme="minorEastAsia" w:cstheme="minorBidi"/>
          <w:szCs w:val="24"/>
        </w:rPr>
        <w:t>盘</w:t>
      </w:r>
      <w:r>
        <w:rPr>
          <w:rFonts w:asciiTheme="minorEastAsia" w:hAnsiTheme="minorEastAsia" w:eastAsiaTheme="minorEastAsia" w:cstheme="minorBidi"/>
          <w:szCs w:val="24"/>
        </w:rPr>
        <w:t>40GB</w:t>
      </w:r>
      <w:r>
        <w:rPr>
          <w:rFonts w:hint="eastAsia" w:asciiTheme="minorEastAsia" w:hAnsiTheme="minorEastAsia" w:eastAsiaTheme="minorEastAsia" w:cstheme="minorBidi"/>
          <w:szCs w:val="24"/>
        </w:rPr>
        <w:t>存储空间来估算。未来可针对应用安装配置模式的优化及用户使用场景进行进一步详细测算和调整。</w:t>
      </w:r>
    </w:p>
    <w:p w14:paraId="20336383">
      <w:pPr>
        <w:numPr>
          <w:ilvl w:val="0"/>
          <w:numId w:val="5"/>
        </w:numPr>
        <w:jc w:val="left"/>
        <w:rPr>
          <w:rFonts w:asciiTheme="minorEastAsia" w:hAnsiTheme="minorEastAsia" w:eastAsiaTheme="minorEastAsia" w:cstheme="minorBidi"/>
          <w:szCs w:val="24"/>
        </w:rPr>
      </w:pPr>
      <w:r>
        <w:rPr>
          <w:rFonts w:hint="eastAsia" w:asciiTheme="minorEastAsia" w:hAnsiTheme="minorEastAsia" w:eastAsiaTheme="minorEastAsia" w:cstheme="minorBidi"/>
          <w:szCs w:val="24"/>
        </w:rPr>
        <w:t>云主机需要配置桌面云虚拟化平台，能够实现虚拟机自动挂载云主机的共享磁盘，如识别为</w:t>
      </w:r>
      <w:r>
        <w:rPr>
          <w:rFonts w:asciiTheme="minorEastAsia" w:hAnsiTheme="minorEastAsia" w:eastAsiaTheme="minorEastAsia" w:cstheme="minorBidi"/>
          <w:szCs w:val="24"/>
        </w:rPr>
        <w:t>D</w:t>
      </w:r>
      <w:r>
        <w:rPr>
          <w:rFonts w:hint="eastAsia" w:asciiTheme="minorEastAsia" w:hAnsiTheme="minorEastAsia" w:eastAsiaTheme="minorEastAsia" w:cstheme="minorBidi"/>
          <w:szCs w:val="24"/>
        </w:rPr>
        <w:t>盘，该盘用于老师上传上课需要每个同学使用的课件。因磁盘共享的方式，仅需上传一份即可提供所有学生下载使用。学生同样可使用该盘作为作业存储区域，所有需要保存的作业或者设计，会根据学生名称自动存储在云主机共享磁盘上，保证有效节省空间的同时，学生作业的有效上传和备份。</w:t>
      </w:r>
    </w:p>
    <w:p w14:paraId="304C58A2">
      <w:pPr>
        <w:numPr>
          <w:ilvl w:val="0"/>
          <w:numId w:val="5"/>
        </w:numPr>
        <w:jc w:val="left"/>
        <w:rPr>
          <w:rFonts w:asciiTheme="minorEastAsia" w:hAnsiTheme="minorEastAsia" w:eastAsiaTheme="minorEastAsia" w:cstheme="minorBidi"/>
          <w:szCs w:val="24"/>
        </w:rPr>
      </w:pPr>
      <w:r>
        <w:rPr>
          <w:rFonts w:hint="eastAsia" w:asciiTheme="minorEastAsia" w:hAnsiTheme="minorEastAsia" w:eastAsiaTheme="minorEastAsia" w:cstheme="minorBidi"/>
          <w:szCs w:val="24"/>
        </w:rPr>
        <w:t>将上课所需应用依次安装在虚拟机内并封装成镜像模板。将模板存储在云主机上，并配置高速缓冲空间来提升批量生成虚拟机时对磁盘读取</w:t>
      </w:r>
      <w:r>
        <w:rPr>
          <w:rFonts w:asciiTheme="minorEastAsia" w:hAnsiTheme="minorEastAsia" w:eastAsiaTheme="minorEastAsia" w:cstheme="minorBidi"/>
          <w:szCs w:val="24"/>
        </w:rPr>
        <w:t>IO</w:t>
      </w:r>
      <w:r>
        <w:rPr>
          <w:rFonts w:hint="eastAsia" w:asciiTheme="minorEastAsia" w:hAnsiTheme="minorEastAsia" w:eastAsiaTheme="minorEastAsia" w:cstheme="minorBidi"/>
          <w:szCs w:val="24"/>
        </w:rPr>
        <w:t>性能。</w:t>
      </w:r>
    </w:p>
    <w:p w14:paraId="7B668434">
      <w:pPr>
        <w:numPr>
          <w:ilvl w:val="0"/>
          <w:numId w:val="5"/>
        </w:numPr>
        <w:jc w:val="left"/>
        <w:rPr>
          <w:rFonts w:asciiTheme="minorEastAsia" w:hAnsiTheme="minorEastAsia" w:eastAsiaTheme="minorEastAsia" w:cstheme="minorBidi"/>
          <w:szCs w:val="24"/>
        </w:rPr>
      </w:pPr>
      <w:r>
        <w:rPr>
          <w:rFonts w:hint="eastAsia" w:asciiTheme="minorEastAsia" w:hAnsiTheme="minorEastAsia" w:eastAsiaTheme="minorEastAsia" w:cstheme="minorBidi"/>
          <w:szCs w:val="24"/>
        </w:rPr>
        <w:t>批量生成虚拟机时产生的链接克隆文件使用多级缓存系统分别存储在机械磁盘，固态硬盘和内存中，杜绝磁盘读写</w:t>
      </w:r>
      <w:r>
        <w:rPr>
          <w:rFonts w:asciiTheme="minorEastAsia" w:hAnsiTheme="minorEastAsia" w:eastAsiaTheme="minorEastAsia" w:cstheme="minorBidi"/>
          <w:szCs w:val="24"/>
        </w:rPr>
        <w:t>IO</w:t>
      </w:r>
      <w:r>
        <w:rPr>
          <w:rFonts w:hint="eastAsia" w:asciiTheme="minorEastAsia" w:hAnsiTheme="minorEastAsia" w:eastAsiaTheme="minorEastAsia" w:cstheme="minorBidi"/>
          <w:szCs w:val="24"/>
        </w:rPr>
        <w:t>瓶颈，大大提升虚拟机生成速度和操作相应。</w:t>
      </w:r>
    </w:p>
    <w:p w14:paraId="0294CDE6">
      <w:pPr>
        <w:spacing w:before="120" w:after="120"/>
        <w:ind w:firstLine="420"/>
        <w:jc w:val="left"/>
        <w:rPr>
          <w:rFonts w:asciiTheme="minorEastAsia" w:hAnsiTheme="minorEastAsia" w:eastAsiaTheme="minorEastAsia" w:cstheme="minorBidi"/>
          <w:color w:val="000000"/>
          <w:szCs w:val="24"/>
        </w:rPr>
      </w:pPr>
      <w:r>
        <w:rPr>
          <w:rFonts w:hint="eastAsia" w:asciiTheme="minorEastAsia" w:hAnsiTheme="minorEastAsia" w:eastAsiaTheme="minorEastAsia" w:cstheme="minorBidi"/>
          <w:color w:val="000000"/>
          <w:szCs w:val="24"/>
        </w:rPr>
        <w:t>云主机集群配置之后，按照实际教室数量和终端数量在云主机端配置相应的虚拟教室和教学镜像，根据学校使用情况需要创建虚拟教室和教学镜像模板如下：</w:t>
      </w:r>
    </w:p>
    <w:p w14:paraId="34D9E57D">
      <w:pPr>
        <w:spacing w:before="120" w:after="120"/>
        <w:ind w:firstLine="420"/>
        <w:jc w:val="left"/>
        <w:rPr>
          <w:rFonts w:asciiTheme="minorEastAsia" w:hAnsiTheme="minorEastAsia" w:eastAsiaTheme="minorEastAsia" w:cstheme="minorBidi"/>
          <w:color w:val="000000"/>
          <w:szCs w:val="24"/>
        </w:rPr>
      </w:pPr>
      <w:r>
        <w:rPr>
          <w:rFonts w:hint="eastAsia" w:asciiTheme="minorEastAsia" w:hAnsiTheme="minorEastAsia" w:eastAsiaTheme="minorEastAsia" w:cstheme="minorBidi"/>
          <w:color w:val="000000"/>
          <w:szCs w:val="24"/>
        </w:rPr>
        <w:t>虚拟教室规划：</w:t>
      </w:r>
    </w:p>
    <w:tbl>
      <w:tblPr>
        <w:tblStyle w:val="7"/>
        <w:tblW w:w="8464" w:type="dxa"/>
        <w:tblInd w:w="0" w:type="dxa"/>
        <w:tblBorders>
          <w:top w:val="none" w:color="auto" w:sz="0" w:space="0"/>
          <w:left w:val="none" w:color="auto" w:sz="0" w:space="0"/>
          <w:bottom w:val="none" w:color="auto" w:sz="0" w:space="0"/>
          <w:right w:val="none" w:color="auto" w:sz="0" w:space="0"/>
          <w:insideH w:val="single" w:color="FFFFFF" w:sz="4" w:space="0"/>
          <w:insideV w:val="none" w:color="auto" w:sz="0" w:space="0"/>
        </w:tblBorders>
        <w:tblLayout w:type="fixed"/>
        <w:tblCellMar>
          <w:top w:w="0" w:type="dxa"/>
          <w:left w:w="108" w:type="dxa"/>
          <w:bottom w:w="0" w:type="dxa"/>
          <w:right w:w="108" w:type="dxa"/>
        </w:tblCellMar>
      </w:tblPr>
      <w:tblGrid>
        <w:gridCol w:w="2802"/>
        <w:gridCol w:w="2551"/>
        <w:gridCol w:w="3111"/>
      </w:tblGrid>
      <w:tr w14:paraId="1A63E08F">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trHeight w:val="568" w:hRule="atLeast"/>
        </w:trPr>
        <w:tc>
          <w:tcPr>
            <w:tcW w:w="2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DD603">
            <w:pPr>
              <w:adjustRightInd w:val="0"/>
              <w:snapToGrid w:val="0"/>
              <w:jc w:val="center"/>
              <w:rPr>
                <w:rFonts w:cs="Arial" w:asciiTheme="minorEastAsia" w:hAnsiTheme="minorEastAsia" w:eastAsiaTheme="minorEastAsia"/>
                <w:bCs/>
                <w:color w:val="000000"/>
                <w:spacing w:val="2"/>
                <w:szCs w:val="24"/>
              </w:rPr>
            </w:pPr>
            <w:r>
              <w:rPr>
                <w:rFonts w:hint="eastAsia" w:cs="Arial" w:asciiTheme="minorEastAsia" w:hAnsiTheme="minorEastAsia" w:eastAsiaTheme="minorEastAsia"/>
                <w:color w:val="000000"/>
                <w:spacing w:val="2"/>
                <w:szCs w:val="24"/>
              </w:rPr>
              <w:t>物理教室</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8AE32">
            <w:pPr>
              <w:adjustRightInd w:val="0"/>
              <w:snapToGrid w:val="0"/>
              <w:jc w:val="center"/>
              <w:rPr>
                <w:rFonts w:cs="Arial" w:asciiTheme="minorEastAsia" w:hAnsiTheme="minorEastAsia" w:eastAsiaTheme="minorEastAsia"/>
                <w:bCs/>
                <w:color w:val="000000"/>
                <w:spacing w:val="2"/>
                <w:szCs w:val="24"/>
              </w:rPr>
            </w:pPr>
            <w:r>
              <w:rPr>
                <w:rFonts w:hint="eastAsia" w:cs="Arial" w:asciiTheme="minorEastAsia" w:hAnsiTheme="minorEastAsia" w:eastAsiaTheme="minorEastAsia"/>
                <w:color w:val="000000"/>
                <w:spacing w:val="2"/>
                <w:szCs w:val="24"/>
              </w:rPr>
              <w:t>对应虚拟教室</w:t>
            </w:r>
          </w:p>
        </w:tc>
        <w:tc>
          <w:tcPr>
            <w:tcW w:w="31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230D1">
            <w:pPr>
              <w:adjustRightInd w:val="0"/>
              <w:snapToGrid w:val="0"/>
              <w:jc w:val="center"/>
              <w:rPr>
                <w:rFonts w:cs="Arial" w:asciiTheme="minorEastAsia" w:hAnsiTheme="minorEastAsia" w:eastAsiaTheme="minorEastAsia"/>
                <w:bCs/>
                <w:color w:val="000000"/>
                <w:spacing w:val="2"/>
                <w:szCs w:val="24"/>
              </w:rPr>
            </w:pPr>
            <w:r>
              <w:rPr>
                <w:rFonts w:hint="eastAsia" w:cs="Arial" w:asciiTheme="minorEastAsia" w:hAnsiTheme="minorEastAsia" w:eastAsiaTheme="minorEastAsia"/>
                <w:color w:val="000000"/>
                <w:spacing w:val="2"/>
                <w:szCs w:val="24"/>
              </w:rPr>
              <w:t>关联教学镜像</w:t>
            </w:r>
          </w:p>
        </w:tc>
      </w:tr>
      <w:tr w14:paraId="7474C166">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trHeight w:val="263" w:hRule="atLeast"/>
        </w:trPr>
        <w:tc>
          <w:tcPr>
            <w:tcW w:w="2802" w:type="dxa"/>
            <w:tcBorders>
              <w:left w:val="single" w:color="000000" w:sz="4" w:space="0"/>
              <w:bottom w:val="single" w:color="000000" w:sz="4" w:space="0"/>
              <w:right w:val="single" w:color="000000" w:sz="4" w:space="0"/>
            </w:tcBorders>
            <w:shd w:val="clear" w:color="auto" w:fill="FFFFFF"/>
            <w:vAlign w:val="center"/>
          </w:tcPr>
          <w:p w14:paraId="0E98E593">
            <w:pPr>
              <w:adjustRightInd w:val="0"/>
              <w:snapToGrid w:val="0"/>
              <w:jc w:val="left"/>
              <w:rPr>
                <w:rFonts w:cs="Arial" w:asciiTheme="minorEastAsia" w:hAnsiTheme="minorEastAsia" w:eastAsiaTheme="minorEastAsia"/>
                <w:color w:val="000000"/>
                <w:spacing w:val="2"/>
                <w:szCs w:val="24"/>
              </w:rPr>
            </w:pPr>
            <w:r>
              <w:rPr>
                <w:rFonts w:hint="eastAsia" w:cs="Arial" w:asciiTheme="minorEastAsia" w:hAnsiTheme="minorEastAsia" w:eastAsiaTheme="minorEastAsia"/>
                <w:color w:val="000000"/>
                <w:spacing w:val="2"/>
                <w:szCs w:val="24"/>
              </w:rPr>
              <w:t>公共机房</w:t>
            </w:r>
            <w:r>
              <w:rPr>
                <w:rFonts w:cs="Arial" w:asciiTheme="minorEastAsia" w:hAnsiTheme="minorEastAsia" w:eastAsiaTheme="minorEastAsia"/>
                <w:color w:val="000000"/>
                <w:spacing w:val="2"/>
                <w:szCs w:val="24"/>
              </w:rPr>
              <w:t>-703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42FD2">
            <w:pPr>
              <w:tabs>
                <w:tab w:val="left" w:pos="420"/>
                <w:tab w:val="left" w:pos="720"/>
              </w:tabs>
              <w:adjustRightInd w:val="0"/>
              <w:snapToGrid w:val="0"/>
              <w:jc w:val="center"/>
              <w:rPr>
                <w:rFonts w:asciiTheme="minorEastAsia" w:hAnsiTheme="minorEastAsia" w:eastAsiaTheme="minorEastAsia" w:cstheme="minorBidi"/>
                <w:szCs w:val="24"/>
              </w:rPr>
            </w:pPr>
            <w:r>
              <w:rPr>
                <w:rFonts w:asciiTheme="minorEastAsia" w:hAnsiTheme="minorEastAsia" w:eastAsiaTheme="minorEastAsia" w:cstheme="minorBidi"/>
                <w:szCs w:val="24"/>
              </w:rPr>
              <w:t>703</w:t>
            </w:r>
          </w:p>
        </w:tc>
        <w:tc>
          <w:tcPr>
            <w:tcW w:w="31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8E67C">
            <w:pPr>
              <w:adjustRightInd w:val="0"/>
              <w:snapToGrid w:val="0"/>
              <w:jc w:val="center"/>
              <w:rPr>
                <w:rFonts w:asciiTheme="minorEastAsia" w:hAnsiTheme="minorEastAsia" w:eastAsiaTheme="minorEastAsia" w:cstheme="minorBidi"/>
                <w:szCs w:val="24"/>
              </w:rPr>
            </w:pPr>
            <w:r>
              <w:rPr>
                <w:rFonts w:hint="eastAsia" w:asciiTheme="minorEastAsia" w:hAnsiTheme="minorEastAsia" w:eastAsiaTheme="minorEastAsia" w:cstheme="minorBidi"/>
                <w:szCs w:val="24"/>
              </w:rPr>
              <w:t>Win</w:t>
            </w:r>
            <w:r>
              <w:rPr>
                <w:rFonts w:asciiTheme="minorEastAsia" w:hAnsiTheme="minorEastAsia" w:eastAsiaTheme="minorEastAsia" w:cstheme="minorBidi"/>
                <w:szCs w:val="24"/>
              </w:rPr>
              <w:t>10</w:t>
            </w:r>
          </w:p>
        </w:tc>
      </w:tr>
      <w:tr w14:paraId="53171568">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trHeight w:val="263" w:hRule="atLeast"/>
        </w:trPr>
        <w:tc>
          <w:tcPr>
            <w:tcW w:w="2802" w:type="dxa"/>
            <w:tcBorders>
              <w:left w:val="single" w:color="000000" w:sz="4" w:space="0"/>
              <w:bottom w:val="single" w:color="000000" w:sz="4" w:space="0"/>
              <w:right w:val="single" w:color="000000" w:sz="4" w:space="0"/>
            </w:tcBorders>
            <w:shd w:val="clear" w:color="auto" w:fill="FFFFFF"/>
            <w:vAlign w:val="center"/>
          </w:tcPr>
          <w:p w14:paraId="35B4C948">
            <w:pPr>
              <w:adjustRightInd w:val="0"/>
              <w:snapToGrid w:val="0"/>
              <w:jc w:val="left"/>
              <w:rPr>
                <w:rFonts w:cs="Arial" w:asciiTheme="minorEastAsia" w:hAnsiTheme="minorEastAsia" w:eastAsiaTheme="minorEastAsia"/>
                <w:color w:val="000000"/>
                <w:spacing w:val="2"/>
                <w:szCs w:val="24"/>
              </w:rPr>
            </w:pPr>
            <w:r>
              <w:rPr>
                <w:rFonts w:hint="eastAsia" w:cs="Arial" w:asciiTheme="minorEastAsia" w:hAnsiTheme="minorEastAsia" w:eastAsiaTheme="minorEastAsia"/>
                <w:color w:val="000000"/>
                <w:spacing w:val="2"/>
                <w:szCs w:val="24"/>
              </w:rPr>
              <w:t>公共机房-</w:t>
            </w:r>
            <w:r>
              <w:rPr>
                <w:rFonts w:cs="Arial" w:asciiTheme="minorEastAsia" w:hAnsiTheme="minorEastAsia" w:eastAsiaTheme="minorEastAsia"/>
                <w:color w:val="000000"/>
                <w:spacing w:val="2"/>
                <w:szCs w:val="24"/>
              </w:rPr>
              <w:t>711</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E0F87">
            <w:pPr>
              <w:tabs>
                <w:tab w:val="left" w:pos="420"/>
                <w:tab w:val="left" w:pos="720"/>
              </w:tabs>
              <w:adjustRightInd w:val="0"/>
              <w:snapToGrid w:val="0"/>
              <w:jc w:val="center"/>
              <w:rPr>
                <w:rFonts w:asciiTheme="minorEastAsia" w:hAnsiTheme="minorEastAsia" w:eastAsiaTheme="minorEastAsia" w:cstheme="minorBidi"/>
                <w:szCs w:val="24"/>
              </w:rPr>
            </w:pPr>
            <w:r>
              <w:rPr>
                <w:rFonts w:asciiTheme="minorEastAsia" w:hAnsiTheme="minorEastAsia" w:eastAsiaTheme="minorEastAsia" w:cstheme="minorBidi"/>
                <w:szCs w:val="24"/>
              </w:rPr>
              <w:t>711</w:t>
            </w:r>
          </w:p>
        </w:tc>
        <w:tc>
          <w:tcPr>
            <w:tcW w:w="31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594DF">
            <w:pPr>
              <w:adjustRightInd w:val="0"/>
              <w:snapToGrid w:val="0"/>
              <w:jc w:val="center"/>
              <w:rPr>
                <w:rFonts w:asciiTheme="minorEastAsia" w:hAnsiTheme="minorEastAsia" w:eastAsiaTheme="minorEastAsia" w:cstheme="minorBidi"/>
                <w:szCs w:val="24"/>
              </w:rPr>
            </w:pPr>
            <w:r>
              <w:rPr>
                <w:rFonts w:hint="eastAsia" w:asciiTheme="minorEastAsia" w:hAnsiTheme="minorEastAsia" w:eastAsiaTheme="minorEastAsia" w:cstheme="minorBidi"/>
                <w:szCs w:val="24"/>
              </w:rPr>
              <w:t>Win</w:t>
            </w:r>
            <w:r>
              <w:rPr>
                <w:rFonts w:asciiTheme="minorEastAsia" w:hAnsiTheme="minorEastAsia" w:eastAsiaTheme="minorEastAsia" w:cstheme="minorBidi"/>
                <w:szCs w:val="24"/>
              </w:rPr>
              <w:t>10</w:t>
            </w:r>
          </w:p>
        </w:tc>
      </w:tr>
    </w:tbl>
    <w:p w14:paraId="0A1468F6">
      <w:pPr>
        <w:spacing w:before="120" w:after="120"/>
        <w:ind w:firstLine="420"/>
        <w:jc w:val="left"/>
        <w:rPr>
          <w:rFonts w:asciiTheme="minorEastAsia" w:hAnsiTheme="minorEastAsia" w:eastAsiaTheme="minorEastAsia" w:cstheme="minorBidi"/>
          <w:color w:val="000000"/>
          <w:szCs w:val="24"/>
        </w:rPr>
      </w:pPr>
      <w:r>
        <w:rPr>
          <w:rFonts w:hint="eastAsia" w:asciiTheme="minorEastAsia" w:hAnsiTheme="minorEastAsia" w:eastAsiaTheme="minorEastAsia" w:cstheme="minorBidi"/>
          <w:color w:val="000000"/>
          <w:szCs w:val="24"/>
        </w:rPr>
        <w:t>教学镜像模板规划：</w:t>
      </w:r>
    </w:p>
    <w:tbl>
      <w:tblPr>
        <w:tblStyle w:val="7"/>
        <w:tblW w:w="9093" w:type="dxa"/>
        <w:tblInd w:w="0" w:type="dxa"/>
        <w:tblBorders>
          <w:top w:val="none" w:color="auto" w:sz="0" w:space="0"/>
          <w:left w:val="none" w:color="auto" w:sz="0" w:space="0"/>
          <w:bottom w:val="none" w:color="auto" w:sz="0" w:space="0"/>
          <w:right w:val="none" w:color="auto" w:sz="0" w:space="0"/>
          <w:insideH w:val="single" w:color="FFFFFF" w:sz="4" w:space="0"/>
          <w:insideV w:val="none" w:color="auto" w:sz="0" w:space="0"/>
        </w:tblBorders>
        <w:tblLayout w:type="fixed"/>
        <w:tblCellMar>
          <w:top w:w="0" w:type="dxa"/>
          <w:left w:w="108" w:type="dxa"/>
          <w:bottom w:w="0" w:type="dxa"/>
          <w:right w:w="108" w:type="dxa"/>
        </w:tblCellMar>
      </w:tblPr>
      <w:tblGrid>
        <w:gridCol w:w="2135"/>
        <w:gridCol w:w="1841"/>
        <w:gridCol w:w="1004"/>
        <w:gridCol w:w="1239"/>
        <w:gridCol w:w="1588"/>
        <w:gridCol w:w="1286"/>
      </w:tblGrid>
      <w:tr w14:paraId="02A33F1B">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trHeight w:val="581" w:hRule="atLeast"/>
        </w:trPr>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97DA0">
            <w:pPr>
              <w:adjustRightInd w:val="0"/>
              <w:snapToGrid w:val="0"/>
              <w:jc w:val="center"/>
              <w:rPr>
                <w:rFonts w:cs="Arial" w:asciiTheme="minorEastAsia" w:hAnsiTheme="minorEastAsia" w:eastAsiaTheme="minorEastAsia"/>
                <w:bCs/>
                <w:color w:val="000000"/>
                <w:spacing w:val="2"/>
                <w:szCs w:val="24"/>
              </w:rPr>
            </w:pPr>
            <w:r>
              <w:rPr>
                <w:rFonts w:hint="eastAsia" w:cs="Arial" w:asciiTheme="minorEastAsia" w:hAnsiTheme="minorEastAsia" w:eastAsiaTheme="minorEastAsia"/>
                <w:color w:val="000000"/>
                <w:spacing w:val="2"/>
                <w:szCs w:val="24"/>
              </w:rPr>
              <w:t>类型</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8FFD5">
            <w:pPr>
              <w:adjustRightInd w:val="0"/>
              <w:snapToGrid w:val="0"/>
              <w:jc w:val="center"/>
              <w:rPr>
                <w:rFonts w:cs="Arial" w:asciiTheme="minorEastAsia" w:hAnsiTheme="minorEastAsia" w:eastAsiaTheme="minorEastAsia"/>
                <w:bCs/>
                <w:color w:val="000000"/>
                <w:spacing w:val="2"/>
                <w:szCs w:val="24"/>
              </w:rPr>
            </w:pPr>
            <w:r>
              <w:rPr>
                <w:rFonts w:hint="eastAsia" w:cs="Arial" w:asciiTheme="minorEastAsia" w:hAnsiTheme="minorEastAsia" w:eastAsiaTheme="minorEastAsia"/>
                <w:color w:val="000000"/>
                <w:spacing w:val="2"/>
                <w:szCs w:val="24"/>
              </w:rPr>
              <w:t>虚拟机</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DFFBD">
            <w:pPr>
              <w:adjustRightInd w:val="0"/>
              <w:snapToGrid w:val="0"/>
              <w:jc w:val="center"/>
              <w:rPr>
                <w:rFonts w:asciiTheme="minorEastAsia" w:hAnsiTheme="minorEastAsia" w:eastAsiaTheme="minorEastAsia" w:cstheme="minorBidi"/>
                <w:szCs w:val="24"/>
              </w:rPr>
            </w:pPr>
            <w:r>
              <w:rPr>
                <w:rFonts w:hint="eastAsia" w:asciiTheme="minorEastAsia" w:hAnsiTheme="minorEastAsia" w:eastAsiaTheme="minorEastAsia" w:cstheme="minorBidi"/>
                <w:szCs w:val="24"/>
              </w:rPr>
              <w:t>v</w:t>
            </w:r>
            <w:r>
              <w:rPr>
                <w:rFonts w:asciiTheme="minorEastAsia" w:hAnsiTheme="minorEastAsia" w:eastAsiaTheme="minorEastAsia" w:cstheme="minorBidi"/>
                <w:szCs w:val="24"/>
              </w:rPr>
              <w:t>CPU</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54545">
            <w:pPr>
              <w:adjustRightInd w:val="0"/>
              <w:snapToGrid w:val="0"/>
              <w:jc w:val="center"/>
              <w:rPr>
                <w:rFonts w:asciiTheme="minorEastAsia" w:hAnsiTheme="minorEastAsia" w:eastAsiaTheme="minorEastAsia" w:cstheme="minorBidi"/>
                <w:szCs w:val="24"/>
              </w:rPr>
            </w:pPr>
            <w:r>
              <w:rPr>
                <w:rFonts w:hint="eastAsia" w:asciiTheme="minorEastAsia" w:hAnsiTheme="minorEastAsia" w:eastAsiaTheme="minorEastAsia" w:cstheme="minorBidi"/>
                <w:szCs w:val="24"/>
              </w:rPr>
              <w:t>内存</w:t>
            </w:r>
            <w:r>
              <w:rPr>
                <w:rFonts w:asciiTheme="minorEastAsia" w:hAnsiTheme="minorEastAsia" w:eastAsiaTheme="minorEastAsia" w:cstheme="minorBidi"/>
                <w:szCs w:val="24"/>
              </w:rPr>
              <w:t>(GB)</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68C18">
            <w:pPr>
              <w:adjustRightInd w:val="0"/>
              <w:snapToGrid w:val="0"/>
              <w:jc w:val="center"/>
              <w:rPr>
                <w:rFonts w:asciiTheme="minorEastAsia" w:hAnsiTheme="minorEastAsia" w:eastAsiaTheme="minorEastAsia" w:cstheme="minorBidi"/>
                <w:szCs w:val="24"/>
              </w:rPr>
            </w:pPr>
            <w:r>
              <w:rPr>
                <w:rFonts w:hint="eastAsia" w:asciiTheme="minorEastAsia" w:hAnsiTheme="minorEastAsia" w:eastAsiaTheme="minorEastAsia" w:cstheme="minorBidi"/>
                <w:szCs w:val="24"/>
              </w:rPr>
              <w:t>显卡（G</w:t>
            </w:r>
            <w:r>
              <w:rPr>
                <w:rFonts w:asciiTheme="minorEastAsia" w:hAnsiTheme="minorEastAsia" w:eastAsiaTheme="minorEastAsia" w:cstheme="minorBidi"/>
                <w:szCs w:val="24"/>
              </w:rPr>
              <w:t>B</w:t>
            </w:r>
            <w:r>
              <w:rPr>
                <w:rFonts w:hint="eastAsia" w:asciiTheme="minorEastAsia" w:hAnsiTheme="minorEastAsia" w:eastAsiaTheme="minorEastAsia" w:cstheme="minorBidi"/>
                <w:szCs w:val="24"/>
              </w:rPr>
              <w:t>）</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B34B3">
            <w:pPr>
              <w:adjustRightInd w:val="0"/>
              <w:snapToGrid w:val="0"/>
              <w:jc w:val="center"/>
              <w:rPr>
                <w:rFonts w:asciiTheme="minorEastAsia" w:hAnsiTheme="minorEastAsia" w:eastAsiaTheme="minorEastAsia" w:cstheme="minorBidi"/>
                <w:szCs w:val="24"/>
              </w:rPr>
            </w:pPr>
            <w:r>
              <w:rPr>
                <w:rFonts w:hint="eastAsia" w:asciiTheme="minorEastAsia" w:hAnsiTheme="minorEastAsia" w:eastAsiaTheme="minorEastAsia" w:cstheme="minorBidi"/>
                <w:szCs w:val="24"/>
              </w:rPr>
              <w:t>硬盘</w:t>
            </w:r>
            <w:r>
              <w:rPr>
                <w:rFonts w:asciiTheme="minorEastAsia" w:hAnsiTheme="minorEastAsia" w:eastAsiaTheme="minorEastAsia" w:cstheme="minorBidi"/>
                <w:szCs w:val="24"/>
              </w:rPr>
              <w:t>(GB)</w:t>
            </w:r>
          </w:p>
        </w:tc>
      </w:tr>
      <w:tr w14:paraId="1A46328A">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trHeight w:val="269" w:hRule="atLeast"/>
        </w:trPr>
        <w:tc>
          <w:tcPr>
            <w:tcW w:w="2135" w:type="dxa"/>
            <w:tcBorders>
              <w:left w:val="single" w:color="000000" w:sz="4" w:space="0"/>
              <w:bottom w:val="single" w:color="000000" w:sz="4" w:space="0"/>
              <w:right w:val="single" w:color="000000" w:sz="4" w:space="0"/>
            </w:tcBorders>
            <w:shd w:val="clear" w:color="auto" w:fill="FFFFFF"/>
            <w:vAlign w:val="center"/>
          </w:tcPr>
          <w:p w14:paraId="479C8A44">
            <w:pPr>
              <w:adjustRightInd w:val="0"/>
              <w:snapToGrid w:val="0"/>
              <w:jc w:val="left"/>
              <w:rPr>
                <w:rFonts w:cs="Arial" w:asciiTheme="minorEastAsia" w:hAnsiTheme="minorEastAsia" w:eastAsiaTheme="minorEastAsia"/>
                <w:color w:val="000000"/>
                <w:spacing w:val="2"/>
                <w:szCs w:val="24"/>
              </w:rPr>
            </w:pPr>
            <w:r>
              <w:rPr>
                <w:rFonts w:hint="eastAsia" w:cs="Arial" w:asciiTheme="minorEastAsia" w:hAnsiTheme="minorEastAsia" w:eastAsiaTheme="minorEastAsia"/>
                <w:color w:val="000000"/>
                <w:spacing w:val="2"/>
                <w:szCs w:val="24"/>
              </w:rPr>
              <w:t>基础类教学桌面</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223BE">
            <w:pPr>
              <w:tabs>
                <w:tab w:val="left" w:pos="420"/>
                <w:tab w:val="left" w:pos="720"/>
              </w:tabs>
              <w:adjustRightInd w:val="0"/>
              <w:snapToGrid w:val="0"/>
              <w:jc w:val="center"/>
              <w:rPr>
                <w:rFonts w:asciiTheme="minorEastAsia" w:hAnsiTheme="minorEastAsia" w:eastAsiaTheme="minorEastAsia" w:cstheme="minorBidi"/>
                <w:szCs w:val="24"/>
              </w:rPr>
            </w:pPr>
            <w:r>
              <w:rPr>
                <w:rFonts w:hint="eastAsia" w:asciiTheme="minorEastAsia" w:hAnsiTheme="minorEastAsia" w:eastAsiaTheme="minorEastAsia" w:cstheme="minorBidi"/>
                <w:szCs w:val="24"/>
              </w:rPr>
              <w:t>Wi</w:t>
            </w:r>
            <w:r>
              <w:rPr>
                <w:rFonts w:asciiTheme="minorEastAsia" w:hAnsiTheme="minorEastAsia" w:eastAsiaTheme="minorEastAsia" w:cstheme="minorBidi"/>
                <w:szCs w:val="24"/>
              </w:rPr>
              <w:t>ndows 10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0D391">
            <w:pPr>
              <w:adjustRightInd w:val="0"/>
              <w:snapToGrid w:val="0"/>
              <w:jc w:val="center"/>
              <w:rPr>
                <w:rFonts w:asciiTheme="minorEastAsia" w:hAnsiTheme="minorEastAsia" w:eastAsiaTheme="minorEastAsia" w:cstheme="minorBidi"/>
                <w:szCs w:val="24"/>
              </w:rPr>
            </w:pPr>
            <w:r>
              <w:rPr>
                <w:rFonts w:asciiTheme="minorEastAsia" w:hAnsiTheme="minorEastAsia" w:eastAsiaTheme="minorEastAsia" w:cstheme="minorBidi"/>
                <w:szCs w:val="24"/>
              </w:rPr>
              <w:t>4-6</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92F98">
            <w:pPr>
              <w:adjustRightInd w:val="0"/>
              <w:snapToGrid w:val="0"/>
              <w:jc w:val="center"/>
              <w:rPr>
                <w:rFonts w:asciiTheme="minorEastAsia" w:hAnsiTheme="minorEastAsia" w:eastAsiaTheme="minorEastAsia" w:cstheme="minorBidi"/>
                <w:szCs w:val="24"/>
              </w:rPr>
            </w:pPr>
            <w:r>
              <w:rPr>
                <w:rFonts w:asciiTheme="minorEastAsia" w:hAnsiTheme="minorEastAsia" w:eastAsiaTheme="minorEastAsia" w:cstheme="minorBidi"/>
                <w:szCs w:val="24"/>
              </w:rPr>
              <w:t>8</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516F0">
            <w:pPr>
              <w:adjustRightInd w:val="0"/>
              <w:snapToGrid w:val="0"/>
              <w:jc w:val="center"/>
              <w:rPr>
                <w:rFonts w:asciiTheme="minorEastAsia" w:hAnsiTheme="minorEastAsia" w:eastAsiaTheme="minorEastAsia" w:cstheme="minorBidi"/>
                <w:szCs w:val="24"/>
              </w:rPr>
            </w:pPr>
            <w:r>
              <w:rPr>
                <w:rFonts w:asciiTheme="minorEastAsia" w:hAnsiTheme="minorEastAsia" w:eastAsiaTheme="minorEastAsia" w:cstheme="minorBidi"/>
                <w:szCs w:val="24"/>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FA621">
            <w:pPr>
              <w:adjustRightInd w:val="0"/>
              <w:snapToGrid w:val="0"/>
              <w:jc w:val="center"/>
              <w:rPr>
                <w:rFonts w:asciiTheme="minorEastAsia" w:hAnsiTheme="minorEastAsia" w:eastAsiaTheme="minorEastAsia" w:cstheme="minorBidi"/>
                <w:szCs w:val="24"/>
              </w:rPr>
            </w:pPr>
            <w:r>
              <w:rPr>
                <w:rFonts w:asciiTheme="minorEastAsia" w:hAnsiTheme="minorEastAsia" w:eastAsiaTheme="minorEastAsia" w:cstheme="minorBidi"/>
                <w:szCs w:val="24"/>
              </w:rPr>
              <w:t>80</w:t>
            </w:r>
          </w:p>
        </w:tc>
      </w:tr>
      <w:tr w14:paraId="5490E540">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trHeight w:val="269" w:hRule="atLeast"/>
        </w:trPr>
        <w:tc>
          <w:tcPr>
            <w:tcW w:w="2135" w:type="dxa"/>
            <w:tcBorders>
              <w:left w:val="single" w:color="000000" w:sz="4" w:space="0"/>
              <w:bottom w:val="single" w:color="000000" w:sz="4" w:space="0"/>
              <w:right w:val="single" w:color="000000" w:sz="4" w:space="0"/>
            </w:tcBorders>
            <w:shd w:val="clear" w:color="auto" w:fill="FFFFFF"/>
            <w:vAlign w:val="center"/>
          </w:tcPr>
          <w:p w14:paraId="16030233">
            <w:pPr>
              <w:adjustRightInd w:val="0"/>
              <w:snapToGrid w:val="0"/>
              <w:jc w:val="left"/>
              <w:rPr>
                <w:rFonts w:cs="Arial" w:asciiTheme="minorEastAsia" w:hAnsiTheme="minorEastAsia" w:eastAsiaTheme="minorEastAsia"/>
                <w:color w:val="000000"/>
                <w:spacing w:val="2"/>
                <w:szCs w:val="24"/>
              </w:rPr>
            </w:pPr>
            <w:r>
              <w:rPr>
                <w:rFonts w:hint="eastAsia" w:cs="Arial" w:asciiTheme="minorEastAsia" w:hAnsiTheme="minorEastAsia" w:eastAsiaTheme="minorEastAsia"/>
                <w:color w:val="000000"/>
                <w:spacing w:val="2"/>
                <w:szCs w:val="24"/>
              </w:rPr>
              <w:t>图形类教学桌面</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3A744">
            <w:pPr>
              <w:tabs>
                <w:tab w:val="left" w:pos="420"/>
                <w:tab w:val="left" w:pos="720"/>
              </w:tabs>
              <w:adjustRightInd w:val="0"/>
              <w:snapToGrid w:val="0"/>
              <w:jc w:val="center"/>
              <w:rPr>
                <w:rFonts w:asciiTheme="minorEastAsia" w:hAnsiTheme="minorEastAsia" w:eastAsiaTheme="minorEastAsia" w:cstheme="minorBidi"/>
                <w:szCs w:val="24"/>
              </w:rPr>
            </w:pPr>
            <w:r>
              <w:rPr>
                <w:rFonts w:hint="eastAsia" w:asciiTheme="minorEastAsia" w:hAnsiTheme="minorEastAsia" w:eastAsiaTheme="minorEastAsia" w:cstheme="minorBidi"/>
                <w:szCs w:val="24"/>
              </w:rPr>
              <w:t>Wi</w:t>
            </w:r>
            <w:r>
              <w:rPr>
                <w:rFonts w:asciiTheme="minorEastAsia" w:hAnsiTheme="minorEastAsia" w:eastAsiaTheme="minorEastAsia" w:cstheme="minorBidi"/>
                <w:szCs w:val="24"/>
              </w:rPr>
              <w:t>ndows 10</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5E843">
            <w:pPr>
              <w:adjustRightInd w:val="0"/>
              <w:snapToGrid w:val="0"/>
              <w:jc w:val="center"/>
              <w:rPr>
                <w:rFonts w:asciiTheme="minorEastAsia" w:hAnsiTheme="minorEastAsia" w:eastAsiaTheme="minorEastAsia" w:cstheme="minorBidi"/>
                <w:szCs w:val="24"/>
              </w:rPr>
            </w:pPr>
            <w:r>
              <w:rPr>
                <w:rFonts w:asciiTheme="minorEastAsia" w:hAnsiTheme="minorEastAsia" w:eastAsiaTheme="minorEastAsia" w:cstheme="minorBidi"/>
                <w:szCs w:val="24"/>
              </w:rPr>
              <w:t>8</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B8556">
            <w:pPr>
              <w:adjustRightInd w:val="0"/>
              <w:snapToGrid w:val="0"/>
              <w:jc w:val="center"/>
              <w:rPr>
                <w:rFonts w:asciiTheme="minorEastAsia" w:hAnsiTheme="minorEastAsia" w:eastAsiaTheme="minorEastAsia" w:cstheme="minorBidi"/>
                <w:szCs w:val="24"/>
              </w:rPr>
            </w:pPr>
            <w:r>
              <w:rPr>
                <w:rFonts w:asciiTheme="minorEastAsia" w:hAnsiTheme="minorEastAsia" w:eastAsiaTheme="minorEastAsia" w:cstheme="minorBidi"/>
                <w:szCs w:val="24"/>
              </w:rPr>
              <w:t>16</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7E89D">
            <w:pPr>
              <w:adjustRightInd w:val="0"/>
              <w:snapToGrid w:val="0"/>
              <w:jc w:val="center"/>
              <w:rPr>
                <w:rFonts w:asciiTheme="minorEastAsia" w:hAnsiTheme="minorEastAsia" w:eastAsiaTheme="minorEastAsia" w:cstheme="minorBidi"/>
                <w:szCs w:val="24"/>
              </w:rPr>
            </w:pPr>
            <w:r>
              <w:rPr>
                <w:rFonts w:hint="eastAsia" w:asciiTheme="minorEastAsia" w:hAnsiTheme="minorEastAsia" w:eastAsiaTheme="minorEastAsia" w:cstheme="minorBidi"/>
                <w:szCs w:val="24"/>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D2463">
            <w:pPr>
              <w:adjustRightInd w:val="0"/>
              <w:snapToGrid w:val="0"/>
              <w:jc w:val="center"/>
              <w:rPr>
                <w:rFonts w:asciiTheme="minorEastAsia" w:hAnsiTheme="minorEastAsia" w:eastAsiaTheme="minorEastAsia" w:cstheme="minorBidi"/>
                <w:szCs w:val="24"/>
              </w:rPr>
            </w:pPr>
            <w:r>
              <w:rPr>
                <w:rFonts w:asciiTheme="minorEastAsia" w:hAnsiTheme="minorEastAsia" w:eastAsiaTheme="minorEastAsia" w:cstheme="minorBidi"/>
                <w:szCs w:val="24"/>
              </w:rPr>
              <w:t>80</w:t>
            </w:r>
          </w:p>
        </w:tc>
      </w:tr>
    </w:tbl>
    <w:p w14:paraId="254B4A23">
      <w:pPr>
        <w:pStyle w:val="14"/>
        <w:ind w:left="426" w:hanging="568"/>
        <w:rPr>
          <w:rFonts w:asciiTheme="minorEastAsia" w:hAnsiTheme="minorEastAsia" w:eastAsiaTheme="minorEastAsia"/>
          <w:szCs w:val="24"/>
        </w:rPr>
      </w:pPr>
      <w:bookmarkStart w:id="18" w:name="_Toc28249"/>
      <w:bookmarkStart w:id="19" w:name="_Toc3555741"/>
      <w:bookmarkStart w:id="20" w:name="_Toc95745626"/>
      <w:r>
        <w:rPr>
          <w:rFonts w:hint="eastAsia" w:asciiTheme="minorEastAsia" w:hAnsiTheme="minorEastAsia" w:eastAsiaTheme="minorEastAsia"/>
          <w:szCs w:val="24"/>
        </w:rPr>
        <w:t>安全设计</w:t>
      </w:r>
      <w:bookmarkEnd w:id="18"/>
      <w:bookmarkEnd w:id="19"/>
      <w:bookmarkEnd w:id="20"/>
    </w:p>
    <w:p w14:paraId="7AE282A6">
      <w:pPr>
        <w:spacing w:after="156"/>
        <w:ind w:firstLine="420"/>
        <w:jc w:val="left"/>
        <w:rPr>
          <w:rFonts w:asciiTheme="minorEastAsia" w:hAnsiTheme="minorEastAsia" w:eastAsiaTheme="minorEastAsia" w:cstheme="minorBidi"/>
          <w:szCs w:val="24"/>
        </w:rPr>
      </w:pPr>
      <w:r>
        <w:rPr>
          <w:rFonts w:hint="eastAsia" w:asciiTheme="minorEastAsia" w:hAnsiTheme="minorEastAsia" w:eastAsiaTheme="minorEastAsia" w:cstheme="minorBidi"/>
          <w:b/>
          <w:szCs w:val="24"/>
        </w:rPr>
        <w:t>用户访问的安全性：</w:t>
      </w:r>
      <w:r>
        <w:rPr>
          <w:rFonts w:hint="eastAsia" w:asciiTheme="minorEastAsia" w:hAnsiTheme="minorEastAsia" w:eastAsiaTheme="minorEastAsia" w:cstheme="minorBidi"/>
          <w:color w:val="000000"/>
          <w:szCs w:val="24"/>
        </w:rPr>
        <w:t>设置管理员、任课老师、学生身份，仅有管理员身份能够对云主机执行虚拟机生成、修改和删除操作，确保教学镜像等重要数据安全性，任课老师和学生机无法控制云主机，杜绝用户非常规操作的安全漏洞。</w:t>
      </w:r>
    </w:p>
    <w:p w14:paraId="1064BC8D">
      <w:pPr>
        <w:spacing w:after="156"/>
        <w:ind w:firstLine="465"/>
        <w:jc w:val="left"/>
        <w:rPr>
          <w:rFonts w:asciiTheme="minorEastAsia" w:hAnsiTheme="minorEastAsia" w:eastAsiaTheme="minorEastAsia" w:cstheme="minorBidi"/>
          <w:szCs w:val="24"/>
        </w:rPr>
      </w:pPr>
      <w:r>
        <w:rPr>
          <w:rFonts w:hint="eastAsia" w:asciiTheme="minorEastAsia" w:hAnsiTheme="minorEastAsia" w:eastAsiaTheme="minorEastAsia" w:cstheme="minorBidi"/>
          <w:b/>
          <w:szCs w:val="24"/>
        </w:rPr>
        <w:t>传输协议的安全性：</w:t>
      </w:r>
      <w:r>
        <w:rPr>
          <w:rFonts w:hint="eastAsia" w:asciiTheme="minorEastAsia" w:hAnsiTheme="minorEastAsia" w:eastAsiaTheme="minorEastAsia" w:cstheme="minorBidi"/>
          <w:szCs w:val="24"/>
        </w:rPr>
        <w:t>用户操作访问虚拟桌面或虚拟应用时，通过虚拟化协议建立用户会话，要求</w:t>
      </w:r>
      <w:r>
        <w:rPr>
          <w:rFonts w:asciiTheme="minorEastAsia" w:hAnsiTheme="minorEastAsia" w:eastAsiaTheme="minorEastAsia" w:cstheme="minorBidi"/>
          <w:iCs/>
          <w:szCs w:val="24"/>
        </w:rPr>
        <w:t>采用开放的标准安全协议和公用密钥架构来确保安全</w:t>
      </w:r>
      <w:r>
        <w:rPr>
          <w:rFonts w:hint="eastAsia" w:asciiTheme="minorEastAsia" w:hAnsiTheme="minorEastAsia" w:eastAsiaTheme="minorEastAsia" w:cstheme="minorBidi"/>
          <w:szCs w:val="24"/>
        </w:rPr>
        <w:t>。</w:t>
      </w:r>
    </w:p>
    <w:p w14:paraId="02976117">
      <w:pPr>
        <w:ind w:firstLine="420"/>
        <w:rPr>
          <w:rFonts w:asciiTheme="minorEastAsia" w:hAnsiTheme="minorEastAsia" w:eastAsiaTheme="minorEastAsia" w:cstheme="minorBidi"/>
          <w:color w:val="000000"/>
          <w:szCs w:val="24"/>
        </w:rPr>
      </w:pPr>
      <w:r>
        <w:rPr>
          <w:rFonts w:hint="eastAsia" w:asciiTheme="minorEastAsia" w:hAnsiTheme="minorEastAsia" w:eastAsiaTheme="minorEastAsia" w:cstheme="minorBidi"/>
          <w:b/>
          <w:szCs w:val="24"/>
        </w:rPr>
        <w:t>策略化的控制：</w:t>
      </w:r>
      <w:r>
        <w:rPr>
          <w:rFonts w:hint="eastAsia" w:asciiTheme="minorEastAsia" w:hAnsiTheme="minorEastAsia" w:eastAsiaTheme="minorEastAsia" w:cstheme="minorBidi"/>
          <w:szCs w:val="24"/>
        </w:rPr>
        <w:t>系统的提供集中的细粒度的策略控制用户的授权访问，针对用户、网络位置、终端环境、应用、云主机等属性决定用户是否能够获得应用的访问。</w:t>
      </w:r>
      <w:r>
        <w:rPr>
          <w:rFonts w:hint="eastAsia" w:asciiTheme="minorEastAsia" w:hAnsiTheme="minorEastAsia" w:eastAsiaTheme="minorEastAsia" w:cstheme="minorBidi"/>
          <w:color w:val="000000"/>
          <w:szCs w:val="24"/>
        </w:rPr>
        <w:t>系统允许访问者进行有限制的访问，而不能随意的更改、拷贝信息，更不能将信息带走。</w:t>
      </w:r>
    </w:p>
    <w:bookmarkEnd w:id="13"/>
    <w:bookmarkEnd w:id="14"/>
    <w:p w14:paraId="43BFD4E0">
      <w:pPr>
        <w:pStyle w:val="14"/>
        <w:ind w:left="426" w:hanging="568"/>
        <w:rPr>
          <w:rFonts w:asciiTheme="minorEastAsia" w:hAnsiTheme="minorEastAsia" w:eastAsiaTheme="minorEastAsia"/>
          <w:szCs w:val="24"/>
        </w:rPr>
      </w:pPr>
      <w:bookmarkStart w:id="21" w:name="_Toc3555742"/>
      <w:bookmarkStart w:id="22" w:name="_Toc356572450"/>
      <w:bookmarkStart w:id="23" w:name="_Toc95745628"/>
      <w:r>
        <w:rPr>
          <w:rFonts w:hint="eastAsia" w:asciiTheme="minorEastAsia" w:hAnsiTheme="minorEastAsia" w:eastAsiaTheme="minorEastAsia"/>
          <w:szCs w:val="24"/>
        </w:rPr>
        <w:t>终端区域模块设计</w:t>
      </w:r>
      <w:bookmarkEnd w:id="21"/>
      <w:bookmarkEnd w:id="22"/>
      <w:bookmarkEnd w:id="23"/>
    </w:p>
    <w:p w14:paraId="1AAF16E8">
      <w:pPr>
        <w:pStyle w:val="18"/>
        <w:ind w:left="567"/>
        <w:rPr>
          <w:rFonts w:asciiTheme="minorEastAsia" w:hAnsiTheme="minorEastAsia" w:eastAsiaTheme="minorEastAsia"/>
        </w:rPr>
      </w:pPr>
      <w:bookmarkStart w:id="24" w:name="_Toc95745629"/>
      <w:bookmarkStart w:id="25" w:name="_Toc3555743"/>
      <w:r>
        <w:rPr>
          <w:rFonts w:hint="eastAsia" w:asciiTheme="minorEastAsia" w:hAnsiTheme="minorEastAsia" w:eastAsiaTheme="minorEastAsia"/>
        </w:rPr>
        <w:t>云终端</w:t>
      </w:r>
      <w:bookmarkEnd w:id="24"/>
      <w:bookmarkEnd w:id="25"/>
    </w:p>
    <w:p w14:paraId="5E4C9E0A">
      <w:pPr>
        <w:spacing w:before="240" w:after="240"/>
        <w:ind w:firstLine="480"/>
        <w:rPr>
          <w:rFonts w:asciiTheme="minorEastAsia" w:hAnsiTheme="minorEastAsia" w:eastAsiaTheme="minorEastAsia" w:cstheme="minorBidi"/>
          <w:szCs w:val="24"/>
        </w:rPr>
      </w:pPr>
      <w:r>
        <w:rPr>
          <w:rFonts w:hint="eastAsia" w:asciiTheme="minorEastAsia" w:hAnsiTheme="minorEastAsia" w:eastAsiaTheme="minorEastAsia" w:cstheme="minorBidi"/>
          <w:szCs w:val="24"/>
        </w:rPr>
        <w:t>本次项目终端结合现状，除教师机外将拟7</w:t>
      </w:r>
      <w:r>
        <w:rPr>
          <w:rFonts w:asciiTheme="minorEastAsia" w:hAnsiTheme="minorEastAsia" w:eastAsiaTheme="minorEastAsia" w:cstheme="minorBidi"/>
          <w:szCs w:val="24"/>
        </w:rPr>
        <w:t>03</w:t>
      </w:r>
      <w:r>
        <w:rPr>
          <w:rFonts w:hint="eastAsia" w:asciiTheme="minorEastAsia" w:hAnsiTheme="minorEastAsia" w:eastAsiaTheme="minorEastAsia" w:cstheme="minorBidi"/>
          <w:szCs w:val="24"/>
        </w:rPr>
        <w:t>、</w:t>
      </w:r>
      <w:r>
        <w:rPr>
          <w:rFonts w:asciiTheme="minorEastAsia" w:hAnsiTheme="minorEastAsia" w:eastAsiaTheme="minorEastAsia" w:cstheme="minorBidi"/>
          <w:szCs w:val="24"/>
        </w:rPr>
        <w:t>711</w:t>
      </w:r>
      <w:r>
        <w:rPr>
          <w:rFonts w:hint="eastAsia" w:asciiTheme="minorEastAsia" w:hAnsiTheme="minorEastAsia" w:eastAsiaTheme="minorEastAsia" w:cstheme="minorBidi"/>
          <w:szCs w:val="24"/>
        </w:rPr>
        <w:t>机房全部利旧原有P</w:t>
      </w:r>
      <w:r>
        <w:rPr>
          <w:rFonts w:asciiTheme="minorEastAsia" w:hAnsiTheme="minorEastAsia" w:eastAsiaTheme="minorEastAsia" w:cstheme="minorBidi"/>
          <w:szCs w:val="24"/>
        </w:rPr>
        <w:t>C</w:t>
      </w:r>
      <w:r>
        <w:rPr>
          <w:rFonts w:hint="eastAsia" w:asciiTheme="minorEastAsia" w:hAnsiTheme="minorEastAsia" w:eastAsiaTheme="minorEastAsia" w:cstheme="minorBidi"/>
          <w:szCs w:val="24"/>
        </w:rPr>
        <w:t>终端作为瘦终端进行接入。通过本次的利旧改造，可充分发挥校内濒临淘汰的终端的余热。且使用后台集中运算的利旧架构模式，这样也使得教学终端镜像系统的管理、维护、升级、扩展、服务等一系列环节得到优化，为学校最大限度地节省了管理维护成本。</w:t>
      </w:r>
    </w:p>
    <w:p w14:paraId="4D9A8E56">
      <w:pPr>
        <w:pStyle w:val="18"/>
        <w:ind w:left="567"/>
        <w:rPr>
          <w:rFonts w:asciiTheme="minorEastAsia" w:hAnsiTheme="minorEastAsia" w:eastAsiaTheme="minorEastAsia"/>
        </w:rPr>
      </w:pPr>
      <w:bookmarkStart w:id="26" w:name="_Toc314559204"/>
      <w:bookmarkStart w:id="27" w:name="_Toc95745630"/>
      <w:bookmarkStart w:id="28" w:name="_Toc8436"/>
      <w:bookmarkStart w:id="29" w:name="_Toc329758481"/>
      <w:bookmarkStart w:id="30" w:name="_Toc3555744"/>
      <w:r>
        <w:rPr>
          <w:rFonts w:hint="eastAsia" w:asciiTheme="minorEastAsia" w:hAnsiTheme="minorEastAsia" w:eastAsiaTheme="minorEastAsia"/>
        </w:rPr>
        <w:t>外设支持</w:t>
      </w:r>
      <w:bookmarkEnd w:id="26"/>
      <w:bookmarkEnd w:id="27"/>
      <w:bookmarkEnd w:id="28"/>
      <w:bookmarkEnd w:id="29"/>
      <w:bookmarkEnd w:id="30"/>
    </w:p>
    <w:p w14:paraId="3A7C44B5">
      <w:pPr>
        <w:ind w:firstLine="420"/>
        <w:rPr>
          <w:rFonts w:asciiTheme="minorEastAsia" w:hAnsiTheme="minorEastAsia" w:eastAsiaTheme="minorEastAsia" w:cstheme="minorBidi"/>
          <w:szCs w:val="24"/>
        </w:rPr>
      </w:pPr>
      <w:r>
        <w:rPr>
          <w:rFonts w:hint="eastAsia" w:asciiTheme="minorEastAsia" w:hAnsiTheme="minorEastAsia" w:eastAsiaTheme="minorEastAsia" w:cstheme="minorBidi"/>
          <w:szCs w:val="24"/>
        </w:rPr>
        <w:t>利旧桌面方案允许师生将外设连接到终端上，然后像在本地桌面使用外设一样使用这些连接在终端上的外设。设备支持类型包括USB设备，串并口设备，摄像头等。</w:t>
      </w:r>
    </w:p>
    <w:p w14:paraId="22361500">
      <w:pPr>
        <w:pStyle w:val="18"/>
        <w:ind w:left="567"/>
        <w:rPr>
          <w:rFonts w:asciiTheme="minorEastAsia" w:hAnsiTheme="minorEastAsia" w:eastAsiaTheme="minorEastAsia"/>
        </w:rPr>
      </w:pPr>
      <w:bookmarkStart w:id="31" w:name="_Toc329758482"/>
      <w:bookmarkStart w:id="32" w:name="_Toc95745631"/>
      <w:r>
        <w:rPr>
          <w:rFonts w:hint="eastAsia" w:asciiTheme="minorEastAsia" w:hAnsiTheme="minorEastAsia" w:eastAsiaTheme="minorEastAsia"/>
        </w:rPr>
        <w:t>USB设备</w:t>
      </w:r>
      <w:bookmarkEnd w:id="31"/>
      <w:bookmarkEnd w:id="32"/>
    </w:p>
    <w:p w14:paraId="07793B88">
      <w:pPr>
        <w:ind w:firstLine="420"/>
        <w:rPr>
          <w:rFonts w:asciiTheme="minorEastAsia" w:hAnsiTheme="minorEastAsia" w:eastAsiaTheme="minorEastAsia" w:cstheme="minorBidi"/>
          <w:szCs w:val="24"/>
        </w:rPr>
      </w:pPr>
      <w:r>
        <w:rPr>
          <w:rFonts w:hint="eastAsia" w:asciiTheme="minorEastAsia" w:hAnsiTheme="minorEastAsia" w:eastAsiaTheme="minorEastAsia" w:cstheme="minorBidi"/>
          <w:szCs w:val="24"/>
        </w:rPr>
        <w:t>利旧桌面方案支持各种类型的USB移动磁盘，包括U盘、移动硬盘等，无需另装驱动，即插即用。很多学校学生习惯使用U盘将上课时未完成做业带回继续完成，该功能可以让学生在毫无使用差异的前提下使用任何USB存储设备。如果学校对存储功能有所顾虑，云主机还可控制关闭USB设备的重定向使用，实现完善的集中管理功能。</w:t>
      </w:r>
    </w:p>
    <w:p w14:paraId="1791A401">
      <w:pPr>
        <w:pStyle w:val="14"/>
        <w:ind w:left="426" w:hanging="568"/>
        <w:rPr>
          <w:rFonts w:asciiTheme="minorEastAsia" w:hAnsiTheme="minorEastAsia" w:eastAsiaTheme="minorEastAsia"/>
          <w:szCs w:val="24"/>
        </w:rPr>
      </w:pPr>
      <w:r>
        <w:rPr>
          <w:rFonts w:hint="eastAsia" w:asciiTheme="minorEastAsia" w:hAnsiTheme="minorEastAsia" w:eastAsiaTheme="minorEastAsia"/>
          <w:szCs w:val="24"/>
        </w:rPr>
        <w:t>方案设计亮点：为师生打造专属的实训桌面空间</w:t>
      </w:r>
    </w:p>
    <w:p w14:paraId="2C04BD7B">
      <w:pPr>
        <w:ind w:left="426"/>
        <w:rPr>
          <w:rFonts w:asciiTheme="minorEastAsia" w:hAnsiTheme="minorEastAsia" w:eastAsiaTheme="minorEastAsia"/>
          <w:szCs w:val="24"/>
        </w:rPr>
      </w:pPr>
      <w:r>
        <w:rPr>
          <w:rFonts w:hint="eastAsia" w:asciiTheme="minorEastAsia" w:hAnsiTheme="minorEastAsia" w:eastAsiaTheme="minorEastAsia"/>
          <w:b/>
          <w:bCs/>
          <w:szCs w:val="24"/>
        </w:rPr>
        <w:t>本次利旧方案通过后端集中算力部署将</w:t>
      </w:r>
      <w:r>
        <w:rPr>
          <w:rFonts w:asciiTheme="minorEastAsia" w:hAnsiTheme="minorEastAsia" w:eastAsiaTheme="minorEastAsia"/>
          <w:b/>
          <w:bCs/>
          <w:szCs w:val="24"/>
        </w:rPr>
        <w:t>桌面池化，统一提供教学、实训业务</w:t>
      </w:r>
    </w:p>
    <w:p w14:paraId="68C37488">
      <w:pPr>
        <w:numPr>
          <w:ilvl w:val="1"/>
          <w:numId w:val="6"/>
        </w:numPr>
        <w:ind w:hanging="589"/>
        <w:rPr>
          <w:rFonts w:asciiTheme="minorEastAsia" w:hAnsiTheme="minorEastAsia" w:eastAsiaTheme="minorEastAsia"/>
          <w:szCs w:val="24"/>
        </w:rPr>
      </w:pPr>
      <w:r>
        <w:rPr>
          <w:rFonts w:asciiTheme="minorEastAsia" w:hAnsiTheme="minorEastAsia" w:eastAsiaTheme="minorEastAsia"/>
          <w:szCs w:val="24"/>
        </w:rPr>
        <w:t>固定教学桌面：分配给教室内终端的桌面，一般是还原桌面，传统云课堂模式</w:t>
      </w:r>
    </w:p>
    <w:p w14:paraId="4706F65E">
      <w:pPr>
        <w:numPr>
          <w:ilvl w:val="1"/>
          <w:numId w:val="6"/>
        </w:numPr>
        <w:ind w:right="818" w:rightChars="341" w:hanging="589"/>
        <w:rPr>
          <w:rFonts w:asciiTheme="minorEastAsia" w:hAnsiTheme="minorEastAsia" w:eastAsiaTheme="minorEastAsia"/>
          <w:szCs w:val="24"/>
        </w:rPr>
      </w:pPr>
      <w:r>
        <w:rPr>
          <w:rFonts w:asciiTheme="minorEastAsia" w:hAnsiTheme="minorEastAsia" w:eastAsiaTheme="minorEastAsia"/>
          <w:szCs w:val="24"/>
        </w:rPr>
        <w:t>教室桌面开放（教室桌面）：将教室固定桌面开放出去</w:t>
      </w:r>
    </w:p>
    <w:p w14:paraId="277AB1AB">
      <w:pPr>
        <w:numPr>
          <w:ilvl w:val="1"/>
          <w:numId w:val="6"/>
        </w:numPr>
        <w:ind w:right="818" w:rightChars="341" w:hanging="589"/>
        <w:rPr>
          <w:rFonts w:asciiTheme="minorEastAsia" w:hAnsiTheme="minorEastAsia" w:eastAsiaTheme="minorEastAsia"/>
          <w:szCs w:val="24"/>
        </w:rPr>
      </w:pPr>
      <w:r>
        <w:rPr>
          <w:rFonts w:hint="eastAsia" w:asciiTheme="minorEastAsia" w:hAnsiTheme="minorEastAsia" w:eastAsiaTheme="minorEastAsia"/>
          <w:szCs w:val="24"/>
        </w:rPr>
        <w:t>算力资源</w:t>
      </w:r>
      <w:r>
        <w:rPr>
          <w:rFonts w:asciiTheme="minorEastAsia" w:hAnsiTheme="minorEastAsia" w:eastAsiaTheme="minorEastAsia"/>
          <w:szCs w:val="24"/>
        </w:rPr>
        <w:t>开放（桌面池，不占用教学桌面）：</w:t>
      </w:r>
      <w:r>
        <w:rPr>
          <w:rFonts w:hint="eastAsia" w:asciiTheme="minorEastAsia" w:hAnsiTheme="minorEastAsia" w:eastAsiaTheme="minorEastAsia"/>
          <w:szCs w:val="24"/>
        </w:rPr>
        <w:t>除了教学外，还可以将剩余资源提供</w:t>
      </w:r>
      <w:r>
        <w:rPr>
          <w:rFonts w:asciiTheme="minorEastAsia" w:hAnsiTheme="minorEastAsia" w:eastAsiaTheme="minorEastAsia"/>
          <w:szCs w:val="24"/>
        </w:rPr>
        <w:t>额外桌面池</w:t>
      </w:r>
    </w:p>
    <w:p w14:paraId="7BA25851">
      <w:pPr>
        <w:ind w:right="818" w:rightChars="341"/>
        <w:rPr>
          <w:rFonts w:hint="eastAsia" w:asciiTheme="minorEastAsia" w:hAnsiTheme="minorEastAsia" w:eastAsiaTheme="minorEastAsia"/>
          <w:szCs w:val="24"/>
        </w:rPr>
      </w:pPr>
    </w:p>
    <w:p w14:paraId="6D8E02AB">
      <w:pPr>
        <w:pStyle w:val="18"/>
        <w:ind w:left="567"/>
        <w:rPr>
          <w:rFonts w:asciiTheme="minorEastAsia" w:hAnsiTheme="minorEastAsia" w:eastAsiaTheme="minorEastAsia"/>
        </w:rPr>
      </w:pPr>
      <w:r>
        <w:rPr>
          <w:rFonts w:hint="eastAsia" w:asciiTheme="minorEastAsia" w:hAnsiTheme="minorEastAsia" w:eastAsiaTheme="minorEastAsia"/>
        </w:rPr>
        <w:t>丰富教学环境、按需分配资源</w:t>
      </w:r>
    </w:p>
    <w:p w14:paraId="55CC1B31">
      <w:pPr>
        <w:ind w:firstLine="480"/>
        <w:rPr>
          <w:rFonts w:asciiTheme="minorEastAsia" w:hAnsiTheme="minorEastAsia" w:eastAsiaTheme="minorEastAsia"/>
          <w:szCs w:val="24"/>
        </w:rPr>
      </w:pPr>
      <w:r>
        <w:rPr>
          <w:rFonts w:hint="eastAsia" w:asciiTheme="minorEastAsia" w:hAnsiTheme="minorEastAsia" w:eastAsiaTheme="minorEastAsia"/>
          <w:szCs w:val="24"/>
        </w:rPr>
        <w:drawing>
          <wp:inline distT="0" distB="0" distL="0" distR="0">
            <wp:extent cx="4782185" cy="2221230"/>
            <wp:effectExtent l="0" t="0" r="0" b="7620"/>
            <wp:docPr id="58171298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712981" name="图片 22"/>
                    <pic:cNvPicPr>
                      <a:picLocks noChangeAspect="1" noChangeArrowheads="1"/>
                    </pic:cNvPicPr>
                  </pic:nvPicPr>
                  <pic:blipFill>
                    <a:blip r:embed="rId7" cstate="print">
                      <a:extLst>
                        <a:ext uri="{28A0092B-C50C-407E-A947-70E740481C1C}">
                          <a14:useLocalDpi xmlns:a14="http://schemas.microsoft.com/office/drawing/2010/main" val="0"/>
                        </a:ext>
                      </a:extLst>
                    </a:blip>
                    <a:srcRect l="659" t="12491" r="-1"/>
                    <a:stretch>
                      <a:fillRect/>
                    </a:stretch>
                  </pic:blipFill>
                  <pic:spPr>
                    <a:xfrm>
                      <a:off x="0" y="0"/>
                      <a:ext cx="4816511" cy="2237455"/>
                    </a:xfrm>
                    <a:prstGeom prst="rect">
                      <a:avLst/>
                    </a:prstGeom>
                    <a:noFill/>
                    <a:ln>
                      <a:noFill/>
                    </a:ln>
                  </pic:spPr>
                </pic:pic>
              </a:graphicData>
            </a:graphic>
          </wp:inline>
        </w:drawing>
      </w:r>
    </w:p>
    <w:p w14:paraId="2BD8E2DA">
      <w:pPr>
        <w:ind w:firstLine="480"/>
        <w:rPr>
          <w:rFonts w:asciiTheme="minorEastAsia" w:hAnsiTheme="minorEastAsia" w:eastAsiaTheme="minorEastAsia"/>
          <w:szCs w:val="24"/>
        </w:rPr>
      </w:pPr>
      <w:r>
        <w:rPr>
          <w:rFonts w:hint="eastAsia" w:asciiTheme="minorEastAsia" w:hAnsiTheme="minorEastAsia" w:eastAsiaTheme="minorEastAsia"/>
          <w:szCs w:val="24"/>
        </w:rPr>
        <w:t>针对机房教学场景，在后端构建统一的高性能服务器集群，通过云主机管理平台，可以根据教学实际需求，结合镜像，灵活分配CPU、内存、显存、硬盘等硬件资源以及相关的操作系统，保证教学实际需求的同时，大幅度提升资源利用率；</w:t>
      </w:r>
    </w:p>
    <w:p w14:paraId="3863F085">
      <w:pPr>
        <w:ind w:firstLine="480"/>
        <w:rPr>
          <w:rFonts w:asciiTheme="minorEastAsia" w:hAnsiTheme="minorEastAsia" w:eastAsiaTheme="minorEastAsia"/>
          <w:szCs w:val="24"/>
        </w:rPr>
      </w:pPr>
    </w:p>
    <w:p w14:paraId="56EFFDE5">
      <w:pPr>
        <w:pStyle w:val="18"/>
        <w:ind w:left="567"/>
        <w:rPr>
          <w:rFonts w:asciiTheme="minorEastAsia" w:hAnsiTheme="minorEastAsia" w:eastAsiaTheme="minorEastAsia"/>
        </w:rPr>
      </w:pPr>
      <w:r>
        <w:rPr>
          <w:rFonts w:hint="eastAsia" w:asciiTheme="minorEastAsia" w:hAnsiTheme="minorEastAsia" w:eastAsiaTheme="minorEastAsia"/>
        </w:rPr>
        <w:t>极致性价比，让GPU成为桌面标配</w:t>
      </w:r>
    </w:p>
    <w:p w14:paraId="32C96A32">
      <w:pPr>
        <w:shd w:val="clear" w:color="auto" w:fill="FFFFFF"/>
        <w:ind w:firstLine="480"/>
        <w:jc w:val="left"/>
        <w:rPr>
          <w:rFonts w:asciiTheme="minorEastAsia" w:hAnsiTheme="minorEastAsia" w:eastAsiaTheme="minorEastAsia"/>
          <w:szCs w:val="24"/>
        </w:rPr>
      </w:pPr>
      <w:r>
        <w:rPr>
          <w:rFonts w:hint="eastAsia" w:asciiTheme="minorEastAsia" w:hAnsiTheme="minorEastAsia" w:eastAsiaTheme="minorEastAsia"/>
          <w:szCs w:val="24"/>
        </w:rPr>
        <w:t>本次利旧方案中，后端资源池服务器将</w:t>
      </w:r>
      <w:r>
        <w:rPr>
          <w:rFonts w:asciiTheme="minorEastAsia" w:hAnsiTheme="minorEastAsia" w:eastAsiaTheme="minorEastAsia"/>
          <w:szCs w:val="24"/>
        </w:rPr>
        <w:t>采用显卡虚拟化vGPU技术，将服务器端显卡资源共享给所有虚拟机使用，每个虚拟机都可以获得独立的GPU资源，实现对物理GPU的资源切割，可支持OpenGL和DirectX标准及主流的3D设计类软件，满足用户对GPU在图形设计方面的需求，提供良好的3D使用体验。</w:t>
      </w:r>
    </w:p>
    <w:p w14:paraId="19EB871B">
      <w:pPr>
        <w:shd w:val="clear" w:color="auto" w:fill="FFFFFF"/>
        <w:ind w:firstLine="480"/>
        <w:rPr>
          <w:rFonts w:asciiTheme="minorEastAsia" w:hAnsiTheme="minorEastAsia" w:eastAsiaTheme="minorEastAsia"/>
          <w:szCs w:val="24"/>
        </w:rPr>
      </w:pPr>
      <w:r>
        <w:rPr>
          <w:rFonts w:hint="eastAsia" w:asciiTheme="minorEastAsia" w:hAnsiTheme="minorEastAsia" w:eastAsiaTheme="minorEastAsia"/>
          <w:szCs w:val="24"/>
        </w:rPr>
        <w:t>方案落地可以同时提供带GPU和不带GPU的桌面，按照镜像用途分配G</w:t>
      </w:r>
      <w:r>
        <w:rPr>
          <w:rFonts w:asciiTheme="minorEastAsia" w:hAnsiTheme="minorEastAsia" w:eastAsiaTheme="minorEastAsia"/>
          <w:szCs w:val="24"/>
        </w:rPr>
        <w:t>PU</w:t>
      </w:r>
      <w:r>
        <w:rPr>
          <w:rFonts w:hint="eastAsia" w:asciiTheme="minorEastAsia" w:hAnsiTheme="minorEastAsia" w:eastAsiaTheme="minorEastAsia"/>
          <w:szCs w:val="24"/>
        </w:rPr>
        <w:t>资源，课程镜像不使用时资源不会被占用，提高资源利用率，灵活适配不同的教学应用场景。</w:t>
      </w:r>
    </w:p>
    <w:p w14:paraId="3AB68075">
      <w:pPr>
        <w:shd w:val="clear" w:color="auto" w:fill="FFFFFF"/>
        <w:ind w:firstLine="480"/>
        <w:rPr>
          <w:rFonts w:asciiTheme="minorEastAsia" w:hAnsiTheme="minorEastAsia" w:eastAsiaTheme="minorEastAsia"/>
          <w:szCs w:val="24"/>
        </w:rPr>
      </w:pPr>
    </w:p>
    <w:p w14:paraId="6E71AC5F">
      <w:pPr>
        <w:pStyle w:val="18"/>
        <w:ind w:left="567"/>
        <w:rPr>
          <w:rFonts w:asciiTheme="minorEastAsia" w:hAnsiTheme="minorEastAsia" w:eastAsiaTheme="minorEastAsia"/>
        </w:rPr>
      </w:pPr>
      <w:r>
        <w:rPr>
          <w:rFonts w:hint="eastAsia" w:asciiTheme="minorEastAsia" w:hAnsiTheme="minorEastAsia" w:eastAsiaTheme="minorEastAsia"/>
        </w:rPr>
        <w:t>随时随地访问，实训数据保留</w:t>
      </w:r>
    </w:p>
    <w:p w14:paraId="14158D64">
      <w:pPr>
        <w:ind w:firstLine="480"/>
        <w:rPr>
          <w:rFonts w:asciiTheme="minorEastAsia" w:hAnsiTheme="minorEastAsia" w:eastAsiaTheme="minorEastAsia"/>
          <w:szCs w:val="24"/>
        </w:rPr>
      </w:pPr>
      <w:r>
        <w:rPr>
          <w:rFonts w:hint="eastAsia" w:asciiTheme="minorEastAsia" w:hAnsiTheme="minorEastAsia" w:eastAsiaTheme="minorEastAsia"/>
          <w:szCs w:val="24"/>
        </w:rPr>
        <w:t>打造随时随地的泛在学习空间。网络可以访问的地方，都可以随时随地获取实训桌面资源。解决</w:t>
      </w:r>
      <w:r>
        <w:rPr>
          <w:rFonts w:asciiTheme="minorEastAsia" w:hAnsiTheme="minorEastAsia" w:eastAsiaTheme="minorEastAsia"/>
          <w:szCs w:val="24"/>
        </w:rPr>
        <w:t>正版软件课外无法使用</w:t>
      </w:r>
      <w:r>
        <w:rPr>
          <w:rFonts w:hint="eastAsia" w:asciiTheme="minorEastAsia" w:hAnsiTheme="minorEastAsia" w:eastAsiaTheme="minorEastAsia"/>
          <w:szCs w:val="24"/>
        </w:rPr>
        <w:t>、</w:t>
      </w:r>
      <w:r>
        <w:rPr>
          <w:rFonts w:asciiTheme="minorEastAsia" w:hAnsiTheme="minorEastAsia" w:eastAsiaTheme="minorEastAsia"/>
          <w:szCs w:val="24"/>
        </w:rPr>
        <w:t>无法随时随地调用高算力</w:t>
      </w:r>
      <w:r>
        <w:rPr>
          <w:rFonts w:hint="eastAsia" w:asciiTheme="minorEastAsia" w:hAnsiTheme="minorEastAsia" w:eastAsiaTheme="minorEastAsia"/>
          <w:szCs w:val="24"/>
        </w:rPr>
        <w:t>、</w:t>
      </w:r>
      <w:r>
        <w:rPr>
          <w:rFonts w:asciiTheme="minorEastAsia" w:hAnsiTheme="minorEastAsia" w:eastAsiaTheme="minorEastAsia"/>
          <w:szCs w:val="24"/>
        </w:rPr>
        <w:t>传统机房实训环境不连续</w:t>
      </w:r>
      <w:r>
        <w:rPr>
          <w:rFonts w:hint="eastAsia" w:asciiTheme="minorEastAsia" w:hAnsiTheme="minorEastAsia" w:eastAsiaTheme="minorEastAsia"/>
          <w:szCs w:val="24"/>
        </w:rPr>
        <w:t>等问题。</w:t>
      </w:r>
    </w:p>
    <w:p w14:paraId="345DD2CC">
      <w:pPr>
        <w:ind w:firstLine="480"/>
        <w:rPr>
          <w:rFonts w:asciiTheme="minorEastAsia" w:hAnsiTheme="minorEastAsia" w:eastAsiaTheme="minorEastAsia"/>
          <w:szCs w:val="24"/>
        </w:rPr>
      </w:pPr>
      <w:r>
        <w:rPr>
          <w:rFonts w:hint="eastAsia" w:asciiTheme="minorEastAsia" w:hAnsiTheme="minorEastAsia" w:eastAsiaTheme="minorEastAsia"/>
          <w:szCs w:val="24"/>
        </w:rPr>
        <w:t>空间同时支持多种终端接入，满足不同环境的访问。同时保留使用期间的所有数据，包括用户数据以及操作系统配置数据，比如软件配置、屏幕分辨率设置等等，方便依据个人的习惯进行连续实训，有力支撑个性实训；</w:t>
      </w:r>
    </w:p>
    <w:p w14:paraId="6F92F0A7">
      <w:pPr>
        <w:ind w:firstLine="480"/>
        <w:rPr>
          <w:rFonts w:asciiTheme="minorEastAsia" w:hAnsiTheme="minorEastAsia" w:eastAsiaTheme="minorEastAsia"/>
          <w:szCs w:val="24"/>
        </w:rPr>
      </w:pPr>
    </w:p>
    <w:p w14:paraId="46D09253">
      <w:pPr>
        <w:pStyle w:val="18"/>
        <w:ind w:left="567"/>
        <w:rPr>
          <w:rFonts w:asciiTheme="minorEastAsia" w:hAnsiTheme="minorEastAsia" w:eastAsiaTheme="minorEastAsia"/>
        </w:rPr>
      </w:pPr>
      <w:r>
        <w:rPr>
          <w:rFonts w:hint="eastAsia" w:asciiTheme="minorEastAsia" w:hAnsiTheme="minorEastAsia" w:eastAsiaTheme="minorEastAsia"/>
        </w:rPr>
        <w:t>安全合规的开放给学生</w:t>
      </w:r>
    </w:p>
    <w:p w14:paraId="48AF03C8">
      <w:pPr>
        <w:ind w:firstLine="480"/>
        <w:rPr>
          <w:rFonts w:asciiTheme="minorEastAsia" w:hAnsiTheme="minorEastAsia" w:eastAsiaTheme="minorEastAsia"/>
          <w:szCs w:val="24"/>
        </w:rPr>
      </w:pPr>
      <w:r>
        <w:rPr>
          <w:rFonts w:hint="eastAsia" w:asciiTheme="minorEastAsia" w:hAnsiTheme="minorEastAsia" w:eastAsiaTheme="minorEastAsia"/>
          <w:szCs w:val="24"/>
        </w:rPr>
        <w:t>针对教学场景虚拟主机，可以制定软件黑名单，避免学生在学校桌面安全非法软件，提升整体环境的安全和稳定。</w:t>
      </w:r>
    </w:p>
    <w:p w14:paraId="69684ECA">
      <w:pPr>
        <w:ind w:firstLine="480"/>
        <w:rPr>
          <w:rFonts w:asciiTheme="minorEastAsia" w:hAnsiTheme="minorEastAsia" w:eastAsiaTheme="minorEastAsia"/>
          <w:szCs w:val="24"/>
        </w:rPr>
      </w:pPr>
    </w:p>
    <w:p w14:paraId="784C7D05">
      <w:pPr>
        <w:pStyle w:val="14"/>
        <w:ind w:left="426" w:hanging="568"/>
        <w:rPr>
          <w:rFonts w:asciiTheme="minorEastAsia" w:hAnsiTheme="minorEastAsia" w:eastAsiaTheme="minorEastAsia"/>
          <w:szCs w:val="24"/>
        </w:rPr>
      </w:pPr>
      <w:bookmarkStart w:id="33" w:name="_Toc458765682"/>
      <w:bookmarkEnd w:id="33"/>
      <w:bookmarkStart w:id="34" w:name="_Toc458765681"/>
      <w:bookmarkEnd w:id="34"/>
      <w:bookmarkStart w:id="35" w:name="_Toc458765585"/>
      <w:bookmarkEnd w:id="35"/>
      <w:bookmarkStart w:id="36" w:name="_Toc458765586"/>
      <w:bookmarkEnd w:id="36"/>
      <w:bookmarkStart w:id="37" w:name="_Toc95745633"/>
      <w:bookmarkStart w:id="38" w:name="_Toc350844262"/>
      <w:bookmarkStart w:id="39" w:name="_Toc3555749"/>
      <w:bookmarkStart w:id="40" w:name="OLE_LINK2"/>
      <w:bookmarkStart w:id="41" w:name="OLE_LINK1"/>
      <w:r>
        <w:rPr>
          <w:rFonts w:hint="eastAsia" w:asciiTheme="minorEastAsia" w:hAnsiTheme="minorEastAsia" w:eastAsiaTheme="minorEastAsia"/>
          <w:szCs w:val="24"/>
        </w:rPr>
        <w:t>设备配置清单</w:t>
      </w:r>
      <w:bookmarkEnd w:id="37"/>
      <w:bookmarkEnd w:id="38"/>
      <w:bookmarkEnd w:id="39"/>
    </w:p>
    <w:bookmarkEnd w:id="40"/>
    <w:bookmarkEnd w:id="41"/>
    <w:p w14:paraId="4BC6C380">
      <w:pPr>
        <w:rPr>
          <w:rFonts w:asciiTheme="minorEastAsia" w:hAnsiTheme="minorEastAsia" w:eastAsiaTheme="minorEastAsia" w:cstheme="minorBidi"/>
          <w:szCs w:val="24"/>
        </w:rPr>
      </w:pPr>
      <w:r>
        <w:rPr>
          <w:rFonts w:hint="eastAsia" w:asciiTheme="minorEastAsia" w:hAnsiTheme="minorEastAsia" w:eastAsiaTheme="minorEastAsia" w:cstheme="minorBidi"/>
          <w:szCs w:val="24"/>
        </w:rPr>
        <w:t>根据该项目整体方案的设计，本项目中所涉及到的相关产品如下表：</w:t>
      </w:r>
    </w:p>
    <w:tbl>
      <w:tblPr>
        <w:tblStyle w:val="7"/>
        <w:tblW w:w="0" w:type="auto"/>
        <w:tblInd w:w="0" w:type="dxa"/>
        <w:tblLayout w:type="autofit"/>
        <w:tblCellMar>
          <w:top w:w="0" w:type="dxa"/>
          <w:left w:w="108" w:type="dxa"/>
          <w:bottom w:w="0" w:type="dxa"/>
          <w:right w:w="108" w:type="dxa"/>
        </w:tblCellMar>
      </w:tblPr>
      <w:tblGrid>
        <w:gridCol w:w="734"/>
        <w:gridCol w:w="5163"/>
        <w:gridCol w:w="791"/>
        <w:gridCol w:w="1590"/>
      </w:tblGrid>
      <w:tr w14:paraId="29AB9754">
        <w:tblPrEx>
          <w:tblCellMar>
            <w:top w:w="0" w:type="dxa"/>
            <w:left w:w="108" w:type="dxa"/>
            <w:bottom w:w="0" w:type="dxa"/>
            <w:right w:w="108" w:type="dxa"/>
          </w:tblCellMar>
        </w:tblPrEx>
        <w:trPr>
          <w:trHeight w:val="345"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506833DE">
            <w:pPr>
              <w:spacing w:line="240" w:lineRule="auto"/>
              <w:jc w:val="left"/>
              <w:outlineLvl w:val="0"/>
              <w:rPr>
                <w:rFonts w:ascii="微软雅黑" w:hAnsi="微软雅黑" w:eastAsia="微软雅黑" w:cs="宋体"/>
                <w:b/>
                <w:bCs/>
                <w:kern w:val="0"/>
                <w:sz w:val="18"/>
                <w:szCs w:val="18"/>
              </w:rPr>
            </w:pPr>
          </w:p>
        </w:tc>
        <w:tc>
          <w:tcPr>
            <w:tcW w:w="5163" w:type="dxa"/>
            <w:tcBorders>
              <w:top w:val="nil"/>
              <w:left w:val="nil"/>
              <w:bottom w:val="single" w:color="000000" w:sz="4" w:space="0"/>
              <w:right w:val="single" w:color="000000" w:sz="4" w:space="0"/>
            </w:tcBorders>
            <w:shd w:val="clear" w:color="auto" w:fill="auto"/>
            <w:vAlign w:val="center"/>
          </w:tcPr>
          <w:p w14:paraId="7606B5F5">
            <w:pPr>
              <w:spacing w:line="240" w:lineRule="auto"/>
              <w:jc w:val="center"/>
              <w:outlineLvl w:val="0"/>
              <w:rPr>
                <w:rFonts w:ascii="微软雅黑" w:hAnsi="微软雅黑" w:eastAsia="微软雅黑" w:cs="宋体"/>
                <w:b/>
                <w:bCs/>
                <w:kern w:val="0"/>
                <w:sz w:val="18"/>
                <w:szCs w:val="18"/>
              </w:rPr>
            </w:pPr>
            <w:r>
              <w:rPr>
                <w:rFonts w:hint="eastAsia" w:ascii="宋体" w:hAnsi="宋体" w:eastAsia="宋体" w:cs="宋体"/>
                <w:b/>
                <w:bCs/>
                <w:i w:val="0"/>
                <w:iCs w:val="0"/>
                <w:color w:val="000000"/>
                <w:kern w:val="0"/>
                <w:sz w:val="21"/>
                <w:szCs w:val="21"/>
                <w:u w:val="none"/>
                <w:lang w:val="en-US" w:eastAsia="zh-CN" w:bidi="ar"/>
              </w:rPr>
              <w:t>主要参数及配置要求</w:t>
            </w:r>
          </w:p>
        </w:tc>
        <w:tc>
          <w:tcPr>
            <w:tcW w:w="791" w:type="dxa"/>
            <w:tcBorders>
              <w:top w:val="nil"/>
              <w:left w:val="nil"/>
              <w:bottom w:val="single" w:color="000000" w:sz="4" w:space="0"/>
              <w:right w:val="single" w:color="000000" w:sz="4" w:space="0"/>
            </w:tcBorders>
            <w:shd w:val="clear" w:color="auto" w:fill="auto"/>
            <w:vAlign w:val="center"/>
          </w:tcPr>
          <w:p w14:paraId="4C0B2793">
            <w:pPr>
              <w:spacing w:line="240" w:lineRule="auto"/>
              <w:jc w:val="left"/>
              <w:outlineLvl w:val="0"/>
              <w:rPr>
                <w:rFonts w:ascii="微软雅黑" w:hAnsi="微软雅黑" w:eastAsia="微软雅黑" w:cs="宋体"/>
                <w:b/>
                <w:bCs/>
                <w:kern w:val="0"/>
                <w:sz w:val="18"/>
                <w:szCs w:val="18"/>
              </w:rPr>
            </w:pPr>
            <w:r>
              <w:rPr>
                <w:rFonts w:hint="eastAsia" w:ascii="宋体" w:hAnsi="宋体" w:eastAsia="宋体" w:cs="宋体"/>
                <w:b/>
                <w:bCs/>
                <w:i w:val="0"/>
                <w:iCs w:val="0"/>
                <w:color w:val="000000"/>
                <w:kern w:val="0"/>
                <w:sz w:val="21"/>
                <w:szCs w:val="21"/>
                <w:u w:val="none"/>
                <w:lang w:val="en-US" w:eastAsia="zh-CN" w:bidi="ar"/>
              </w:rPr>
              <w:t>台套数</w:t>
            </w:r>
          </w:p>
        </w:tc>
        <w:tc>
          <w:tcPr>
            <w:tcW w:w="1590" w:type="dxa"/>
            <w:tcBorders>
              <w:top w:val="nil"/>
              <w:left w:val="nil"/>
              <w:bottom w:val="single" w:color="000000" w:sz="4" w:space="0"/>
              <w:right w:val="single" w:color="000000" w:sz="4" w:space="0"/>
            </w:tcBorders>
            <w:shd w:val="clear" w:color="auto" w:fill="auto"/>
            <w:vAlign w:val="center"/>
          </w:tcPr>
          <w:p w14:paraId="22772504">
            <w:pPr>
              <w:keepNext w:val="0"/>
              <w:keepLines w:val="0"/>
              <w:widowControl/>
              <w:suppressLineNumbers w:val="0"/>
              <w:jc w:val="center"/>
              <w:textAlignment w:val="center"/>
              <w:rPr>
                <w:rFonts w:ascii="微软雅黑" w:hAnsi="微软雅黑" w:eastAsia="微软雅黑" w:cs="宋体"/>
                <w:b/>
                <w:bCs/>
                <w:kern w:val="0"/>
                <w:sz w:val="16"/>
                <w:szCs w:val="16"/>
              </w:rPr>
            </w:pPr>
            <w:r>
              <w:rPr>
                <w:rFonts w:hint="eastAsia" w:ascii="宋体" w:hAnsi="宋体" w:eastAsia="宋体" w:cs="宋体"/>
                <w:b/>
                <w:bCs/>
                <w:i w:val="0"/>
                <w:iCs w:val="0"/>
                <w:color w:val="000000"/>
                <w:kern w:val="0"/>
                <w:sz w:val="21"/>
                <w:szCs w:val="21"/>
                <w:u w:val="none"/>
                <w:lang w:val="en-US" w:eastAsia="zh-CN" w:bidi="ar"/>
              </w:rPr>
              <w:t>合计</w:t>
            </w:r>
          </w:p>
        </w:tc>
      </w:tr>
      <w:tr w14:paraId="1C9E0F8B">
        <w:tblPrEx>
          <w:tblCellMar>
            <w:top w:w="0" w:type="dxa"/>
            <w:left w:w="108" w:type="dxa"/>
            <w:bottom w:w="0" w:type="dxa"/>
            <w:right w:w="108" w:type="dxa"/>
          </w:tblCellMar>
        </w:tblPrEx>
        <w:trPr>
          <w:trHeight w:val="810" w:hRule="atLeast"/>
        </w:trPr>
        <w:tc>
          <w:tcPr>
            <w:tcW w:w="734" w:type="dxa"/>
            <w:vMerge w:val="restart"/>
            <w:tcBorders>
              <w:top w:val="nil"/>
              <w:left w:val="single" w:color="000000" w:sz="4" w:space="0"/>
              <w:right w:val="single" w:color="000000" w:sz="4" w:space="0"/>
            </w:tcBorders>
            <w:shd w:val="clear" w:color="auto" w:fill="auto"/>
            <w:vAlign w:val="center"/>
          </w:tcPr>
          <w:p w14:paraId="7D0203AD">
            <w:pPr>
              <w:spacing w:line="240" w:lineRule="auto"/>
              <w:jc w:val="center"/>
              <w:outlineLvl w:val="0"/>
              <w:rPr>
                <w:rFonts w:hint="eastAsia" w:ascii="微软雅黑" w:hAnsi="微软雅黑" w:eastAsia="微软雅黑" w:cs="宋体"/>
                <w:kern w:val="0"/>
                <w:sz w:val="16"/>
                <w:szCs w:val="16"/>
                <w:lang w:eastAsia="zh-CN"/>
              </w:rPr>
            </w:pPr>
            <w:r>
              <w:rPr>
                <w:rFonts w:hint="eastAsia" w:ascii="微软雅黑" w:hAnsi="微软雅黑" w:eastAsia="微软雅黑" w:cs="宋体"/>
                <w:b/>
                <w:bCs/>
                <w:kern w:val="0"/>
                <w:sz w:val="18"/>
                <w:szCs w:val="18"/>
              </w:rPr>
              <w:t>云桌面服务器</w:t>
            </w:r>
          </w:p>
        </w:tc>
        <w:tc>
          <w:tcPr>
            <w:tcW w:w="5163" w:type="dxa"/>
            <w:tcBorders>
              <w:top w:val="nil"/>
              <w:left w:val="nil"/>
              <w:bottom w:val="single" w:color="000000" w:sz="4" w:space="0"/>
              <w:right w:val="single" w:color="000000" w:sz="4" w:space="0"/>
            </w:tcBorders>
            <w:shd w:val="clear" w:color="auto" w:fill="auto"/>
            <w:vAlign w:val="center"/>
          </w:tcPr>
          <w:p w14:paraId="310A6999">
            <w:pPr>
              <w:spacing w:line="240" w:lineRule="auto"/>
              <w:jc w:val="left"/>
              <w:outlineLvl w:val="0"/>
              <w:rPr>
                <w:rFonts w:ascii="微软雅黑" w:hAnsi="微软雅黑" w:eastAsia="微软雅黑" w:cs="宋体"/>
                <w:kern w:val="0"/>
                <w:sz w:val="16"/>
                <w:szCs w:val="16"/>
                <w:lang w:val="en-US" w:eastAsia="zh-CN" w:bidi="ar-SA"/>
              </w:rPr>
            </w:pPr>
            <w:r>
              <w:rPr>
                <w:rFonts w:hint="eastAsia" w:ascii="微软雅黑" w:hAnsi="微软雅黑" w:eastAsia="微软雅黑" w:cs="宋体"/>
                <w:kern w:val="0"/>
                <w:sz w:val="16"/>
                <w:szCs w:val="16"/>
              </w:rPr>
              <w:t>云服务器16*32GMEM</w:t>
            </w:r>
            <w:r>
              <w:rPr>
                <w:rFonts w:hint="eastAsia" w:ascii="微软雅黑" w:hAnsi="微软雅黑" w:eastAsia="微软雅黑" w:cs="宋体"/>
                <w:kern w:val="0"/>
                <w:sz w:val="16"/>
                <w:szCs w:val="16"/>
                <w:lang w:val="en-US" w:eastAsia="zh-CN"/>
              </w:rPr>
              <w:t xml:space="preserve"> </w:t>
            </w:r>
            <w:r>
              <w:rPr>
                <w:rFonts w:hint="eastAsia" w:ascii="微软雅黑" w:hAnsi="微软雅黑" w:eastAsia="微软雅黑" w:cs="宋体"/>
                <w:kern w:val="0"/>
                <w:sz w:val="16"/>
                <w:szCs w:val="16"/>
              </w:rPr>
              <w:t>GSSD,3*8THDD,1*4port 10G SFP+ NIC,3*CG620,2*2000W。</w:t>
            </w:r>
          </w:p>
        </w:tc>
        <w:tc>
          <w:tcPr>
            <w:tcW w:w="791" w:type="dxa"/>
            <w:tcBorders>
              <w:top w:val="nil"/>
              <w:left w:val="nil"/>
              <w:bottom w:val="single" w:color="000000" w:sz="4" w:space="0"/>
              <w:right w:val="single" w:color="000000" w:sz="4" w:space="0"/>
            </w:tcBorders>
            <w:shd w:val="clear" w:color="auto" w:fill="auto"/>
            <w:vAlign w:val="center"/>
          </w:tcPr>
          <w:p w14:paraId="78C53A7E">
            <w:pPr>
              <w:spacing w:line="240" w:lineRule="auto"/>
              <w:jc w:val="center"/>
              <w:outlineLvl w:val="0"/>
              <w:rPr>
                <w:rFonts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4</w:t>
            </w:r>
          </w:p>
        </w:tc>
        <w:tc>
          <w:tcPr>
            <w:tcW w:w="1590" w:type="dxa"/>
            <w:vMerge w:val="restart"/>
            <w:tcBorders>
              <w:top w:val="nil"/>
              <w:left w:val="nil"/>
              <w:right w:val="single" w:color="000000" w:sz="4" w:space="0"/>
            </w:tcBorders>
            <w:shd w:val="clear" w:color="auto" w:fill="auto"/>
            <w:vAlign w:val="center"/>
          </w:tcPr>
          <w:p w14:paraId="23F6E9A6">
            <w:pPr>
              <w:spacing w:line="240" w:lineRule="auto"/>
              <w:jc w:val="center"/>
              <w:outlineLvl w:val="0"/>
              <w:rPr>
                <w:rFonts w:hint="default" w:ascii="微软雅黑" w:hAnsi="微软雅黑" w:eastAsia="微软雅黑" w:cs="宋体"/>
                <w:kern w:val="0"/>
                <w:sz w:val="16"/>
                <w:szCs w:val="16"/>
                <w:lang w:val="en-US" w:eastAsia="zh-CN"/>
              </w:rPr>
            </w:pPr>
            <w:r>
              <w:rPr>
                <w:rFonts w:hint="eastAsia" w:ascii="微软雅黑" w:hAnsi="微软雅黑" w:eastAsia="微软雅黑" w:cs="宋体"/>
                <w:kern w:val="0"/>
                <w:sz w:val="20"/>
                <w:szCs w:val="20"/>
                <w:lang w:val="en-US" w:eastAsia="zh-CN"/>
              </w:rPr>
              <w:t>99万元</w:t>
            </w:r>
          </w:p>
        </w:tc>
      </w:tr>
      <w:tr w14:paraId="19EAF74C">
        <w:tblPrEx>
          <w:tblCellMar>
            <w:top w:w="0" w:type="dxa"/>
            <w:left w:w="108" w:type="dxa"/>
            <w:bottom w:w="0" w:type="dxa"/>
            <w:right w:w="108" w:type="dxa"/>
          </w:tblCellMar>
        </w:tblPrEx>
        <w:trPr>
          <w:trHeight w:val="540" w:hRule="atLeast"/>
        </w:trPr>
        <w:tc>
          <w:tcPr>
            <w:tcW w:w="734" w:type="dxa"/>
            <w:vMerge w:val="continue"/>
            <w:tcBorders>
              <w:left w:val="single" w:color="000000" w:sz="4" w:space="0"/>
              <w:bottom w:val="single" w:color="000000" w:sz="4" w:space="0"/>
              <w:right w:val="single" w:color="000000" w:sz="4" w:space="0"/>
            </w:tcBorders>
            <w:shd w:val="clear" w:color="auto" w:fill="auto"/>
            <w:vAlign w:val="center"/>
          </w:tcPr>
          <w:p w14:paraId="68496CEE">
            <w:pPr>
              <w:spacing w:line="240" w:lineRule="auto"/>
              <w:jc w:val="center"/>
              <w:outlineLvl w:val="0"/>
              <w:rPr>
                <w:rFonts w:hint="eastAsia" w:ascii="微软雅黑" w:hAnsi="微软雅黑" w:eastAsia="微软雅黑" w:cs="宋体"/>
                <w:kern w:val="0"/>
                <w:sz w:val="16"/>
                <w:szCs w:val="16"/>
                <w:lang w:eastAsia="zh-CN"/>
              </w:rPr>
            </w:pPr>
          </w:p>
        </w:tc>
        <w:tc>
          <w:tcPr>
            <w:tcW w:w="5163" w:type="dxa"/>
            <w:tcBorders>
              <w:top w:val="nil"/>
              <w:left w:val="nil"/>
              <w:bottom w:val="single" w:color="000000" w:sz="4" w:space="0"/>
              <w:right w:val="single" w:color="000000" w:sz="4" w:space="0"/>
            </w:tcBorders>
            <w:shd w:val="clear" w:color="auto" w:fill="auto"/>
            <w:vAlign w:val="center"/>
          </w:tcPr>
          <w:p w14:paraId="6CAB8D7E">
            <w:pPr>
              <w:spacing w:line="240" w:lineRule="auto"/>
              <w:jc w:val="left"/>
              <w:outlineLvl w:val="0"/>
              <w:rPr>
                <w:rFonts w:ascii="微软雅黑" w:hAnsi="微软雅黑" w:eastAsia="微软雅黑" w:cs="宋体"/>
                <w:kern w:val="0"/>
                <w:sz w:val="16"/>
                <w:szCs w:val="16"/>
                <w:lang w:val="en-US" w:eastAsia="zh-CN" w:bidi="ar-SA"/>
              </w:rPr>
            </w:pPr>
            <w:r>
              <w:rPr>
                <w:rFonts w:hint="eastAsia" w:ascii="微软雅黑" w:hAnsi="微软雅黑" w:eastAsia="微软雅黑" w:cs="宋体"/>
                <w:kern w:val="0"/>
                <w:sz w:val="16"/>
                <w:szCs w:val="16"/>
              </w:rPr>
              <w:t>单个授权软件能提供1颗物理CPU激活码，如需要激活N颗物理CPU，需要购买N个授权软件（仅支持用于教育行业，不可用于其他行业）。</w:t>
            </w:r>
          </w:p>
        </w:tc>
        <w:tc>
          <w:tcPr>
            <w:tcW w:w="791" w:type="dxa"/>
            <w:tcBorders>
              <w:top w:val="nil"/>
              <w:left w:val="nil"/>
              <w:bottom w:val="single" w:color="000000" w:sz="4" w:space="0"/>
              <w:right w:val="single" w:color="000000" w:sz="4" w:space="0"/>
            </w:tcBorders>
            <w:shd w:val="clear" w:color="auto" w:fill="auto"/>
            <w:vAlign w:val="center"/>
          </w:tcPr>
          <w:p w14:paraId="45855F61">
            <w:pPr>
              <w:spacing w:line="240" w:lineRule="auto"/>
              <w:jc w:val="center"/>
              <w:outlineLvl w:val="0"/>
              <w:rPr>
                <w:rFonts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8</w:t>
            </w:r>
          </w:p>
        </w:tc>
        <w:tc>
          <w:tcPr>
            <w:tcW w:w="1590" w:type="dxa"/>
            <w:vMerge w:val="continue"/>
            <w:tcBorders>
              <w:left w:val="nil"/>
              <w:right w:val="single" w:color="000000" w:sz="4" w:space="0"/>
            </w:tcBorders>
            <w:shd w:val="clear" w:color="auto" w:fill="auto"/>
            <w:vAlign w:val="center"/>
          </w:tcPr>
          <w:p w14:paraId="46C55512">
            <w:pPr>
              <w:spacing w:line="240" w:lineRule="auto"/>
              <w:jc w:val="center"/>
              <w:outlineLvl w:val="0"/>
              <w:rPr>
                <w:rFonts w:ascii="微软雅黑" w:hAnsi="微软雅黑" w:eastAsia="微软雅黑" w:cs="宋体"/>
                <w:kern w:val="0"/>
                <w:sz w:val="16"/>
                <w:szCs w:val="16"/>
              </w:rPr>
            </w:pPr>
          </w:p>
        </w:tc>
      </w:tr>
      <w:tr w14:paraId="56094827">
        <w:tblPrEx>
          <w:tblCellMar>
            <w:top w:w="0" w:type="dxa"/>
            <w:left w:w="108" w:type="dxa"/>
            <w:bottom w:w="0" w:type="dxa"/>
            <w:right w:w="108" w:type="dxa"/>
          </w:tblCellMar>
        </w:tblPrEx>
        <w:trPr>
          <w:trHeight w:val="345"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51B29812">
            <w:pPr>
              <w:spacing w:line="240" w:lineRule="auto"/>
              <w:jc w:val="center"/>
              <w:outlineLvl w:val="0"/>
              <w:rPr>
                <w:rFonts w:hint="eastAsia" w:ascii="微软雅黑" w:hAnsi="微软雅黑" w:eastAsia="微软雅黑" w:cs="宋体"/>
                <w:kern w:val="0"/>
                <w:sz w:val="16"/>
                <w:szCs w:val="16"/>
                <w:lang w:eastAsia="zh-CN"/>
              </w:rPr>
            </w:pPr>
            <w:r>
              <w:rPr>
                <w:rFonts w:hint="eastAsia" w:ascii="微软雅黑" w:hAnsi="微软雅黑" w:eastAsia="微软雅黑" w:cs="宋体"/>
                <w:b/>
                <w:bCs/>
                <w:kern w:val="0"/>
                <w:sz w:val="18"/>
                <w:szCs w:val="18"/>
              </w:rPr>
              <w:t>VDI接入授权</w:t>
            </w:r>
          </w:p>
        </w:tc>
        <w:tc>
          <w:tcPr>
            <w:tcW w:w="5163" w:type="dxa"/>
            <w:tcBorders>
              <w:top w:val="nil"/>
              <w:left w:val="nil"/>
              <w:bottom w:val="single" w:color="000000" w:sz="4" w:space="0"/>
              <w:right w:val="single" w:color="000000" w:sz="4" w:space="0"/>
            </w:tcBorders>
            <w:shd w:val="clear" w:color="auto" w:fill="auto"/>
            <w:vAlign w:val="center"/>
          </w:tcPr>
          <w:p w14:paraId="4309E8D7">
            <w:pPr>
              <w:spacing w:line="240" w:lineRule="auto"/>
              <w:jc w:val="left"/>
              <w:outlineLvl w:val="0"/>
              <w:rPr>
                <w:rFonts w:ascii="微软雅黑" w:hAnsi="微软雅黑" w:eastAsia="微软雅黑" w:cs="宋体"/>
                <w:kern w:val="0"/>
                <w:sz w:val="16"/>
                <w:szCs w:val="16"/>
                <w:lang w:val="en-US" w:eastAsia="zh-CN" w:bidi="ar-SA"/>
              </w:rPr>
            </w:pPr>
            <w:r>
              <w:rPr>
                <w:rFonts w:hint="eastAsia" w:ascii="微软雅黑" w:hAnsi="微软雅黑" w:eastAsia="微软雅黑" w:cs="宋体"/>
                <w:kern w:val="0"/>
                <w:sz w:val="16"/>
                <w:szCs w:val="16"/>
              </w:rPr>
              <w:t>包含1个VDI桌面授权，按桌面并发数授权。</w:t>
            </w:r>
          </w:p>
        </w:tc>
        <w:tc>
          <w:tcPr>
            <w:tcW w:w="791" w:type="dxa"/>
            <w:tcBorders>
              <w:top w:val="nil"/>
              <w:left w:val="nil"/>
              <w:bottom w:val="single" w:color="000000" w:sz="4" w:space="0"/>
              <w:right w:val="single" w:color="000000" w:sz="4" w:space="0"/>
            </w:tcBorders>
            <w:shd w:val="clear" w:color="auto" w:fill="auto"/>
            <w:vAlign w:val="center"/>
          </w:tcPr>
          <w:p w14:paraId="06D1BB00">
            <w:pPr>
              <w:spacing w:line="240" w:lineRule="auto"/>
              <w:jc w:val="center"/>
              <w:outlineLvl w:val="0"/>
              <w:rPr>
                <w:rFonts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144</w:t>
            </w:r>
          </w:p>
        </w:tc>
        <w:tc>
          <w:tcPr>
            <w:tcW w:w="1590" w:type="dxa"/>
            <w:vMerge w:val="continue"/>
            <w:tcBorders>
              <w:left w:val="nil"/>
              <w:right w:val="single" w:color="000000" w:sz="4" w:space="0"/>
            </w:tcBorders>
            <w:shd w:val="clear" w:color="auto" w:fill="auto"/>
            <w:vAlign w:val="center"/>
          </w:tcPr>
          <w:p w14:paraId="28E266A8">
            <w:pPr>
              <w:spacing w:line="240" w:lineRule="auto"/>
              <w:jc w:val="center"/>
              <w:outlineLvl w:val="0"/>
              <w:rPr>
                <w:rFonts w:ascii="微软雅黑" w:hAnsi="微软雅黑" w:eastAsia="微软雅黑" w:cs="宋体"/>
                <w:kern w:val="0"/>
                <w:sz w:val="16"/>
                <w:szCs w:val="16"/>
              </w:rPr>
            </w:pPr>
          </w:p>
        </w:tc>
      </w:tr>
      <w:tr w14:paraId="71778201">
        <w:tblPrEx>
          <w:tblCellMar>
            <w:top w:w="0" w:type="dxa"/>
            <w:left w:w="108" w:type="dxa"/>
            <w:bottom w:w="0" w:type="dxa"/>
            <w:right w:w="108" w:type="dxa"/>
          </w:tblCellMar>
        </w:tblPrEx>
        <w:trPr>
          <w:trHeight w:val="1350"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29A0B3CD">
            <w:pPr>
              <w:spacing w:line="240" w:lineRule="auto"/>
              <w:jc w:val="center"/>
              <w:outlineLvl w:val="0"/>
              <w:rPr>
                <w:rFonts w:hint="eastAsia" w:ascii="微软雅黑" w:hAnsi="微软雅黑" w:eastAsia="微软雅黑" w:cs="宋体"/>
                <w:kern w:val="0"/>
                <w:sz w:val="16"/>
                <w:szCs w:val="16"/>
                <w:lang w:eastAsia="zh-CN"/>
              </w:rPr>
            </w:pPr>
            <w:r>
              <w:rPr>
                <w:rFonts w:hint="eastAsia" w:ascii="微软雅黑" w:hAnsi="微软雅黑" w:eastAsia="微软雅黑" w:cs="宋体"/>
                <w:b/>
                <w:bCs/>
                <w:kern w:val="0"/>
                <w:sz w:val="18"/>
                <w:szCs w:val="18"/>
              </w:rPr>
              <w:t>教师机</w:t>
            </w:r>
          </w:p>
        </w:tc>
        <w:tc>
          <w:tcPr>
            <w:tcW w:w="5163" w:type="dxa"/>
            <w:tcBorders>
              <w:top w:val="nil"/>
              <w:left w:val="nil"/>
              <w:bottom w:val="single" w:color="000000" w:sz="4" w:space="0"/>
              <w:right w:val="single" w:color="000000" w:sz="4" w:space="0"/>
            </w:tcBorders>
            <w:shd w:val="clear" w:color="auto" w:fill="auto"/>
            <w:vAlign w:val="center"/>
          </w:tcPr>
          <w:p w14:paraId="168E78C4">
            <w:pPr>
              <w:spacing w:line="240" w:lineRule="auto"/>
              <w:jc w:val="left"/>
              <w:outlineLvl w:val="0"/>
              <w:rPr>
                <w:rFonts w:ascii="微软雅黑" w:hAnsi="微软雅黑" w:eastAsia="微软雅黑" w:cs="宋体"/>
                <w:kern w:val="0"/>
                <w:sz w:val="16"/>
                <w:szCs w:val="16"/>
                <w:lang w:val="en-US" w:eastAsia="zh-CN" w:bidi="ar-SA"/>
              </w:rPr>
            </w:pPr>
            <w:r>
              <w:rPr>
                <w:rFonts w:hint="eastAsia" w:ascii="微软雅黑" w:hAnsi="微软雅黑" w:eastAsia="微软雅黑" w:cs="宋体"/>
                <w:kern w:val="0"/>
                <w:sz w:val="16"/>
                <w:szCs w:val="16"/>
              </w:rPr>
              <w:t>Intel第十二代i7十核十六线程处理器（性能核心6个，最大睿频4.7GHz）；8GB内存，Intel® UHD Graphics集成显卡；2个显示接口；512GB SSD本地存储，1个千兆网口，8个USB口，内存及硬盘可扩展，标配Wi-Fi5。仅支持TCI模式部署使用，产品自带TCI授权无需额外购买。</w:t>
            </w:r>
          </w:p>
        </w:tc>
        <w:tc>
          <w:tcPr>
            <w:tcW w:w="791" w:type="dxa"/>
            <w:tcBorders>
              <w:top w:val="nil"/>
              <w:left w:val="nil"/>
              <w:bottom w:val="single" w:color="000000" w:sz="4" w:space="0"/>
              <w:right w:val="single" w:color="000000" w:sz="4" w:space="0"/>
            </w:tcBorders>
            <w:shd w:val="clear" w:color="auto" w:fill="auto"/>
            <w:vAlign w:val="center"/>
          </w:tcPr>
          <w:p w14:paraId="4C63913D">
            <w:pPr>
              <w:spacing w:line="240" w:lineRule="auto"/>
              <w:jc w:val="center"/>
              <w:outlineLvl w:val="0"/>
              <w:rPr>
                <w:rFonts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2</w:t>
            </w:r>
          </w:p>
        </w:tc>
        <w:tc>
          <w:tcPr>
            <w:tcW w:w="1590" w:type="dxa"/>
            <w:vMerge w:val="continue"/>
            <w:tcBorders>
              <w:left w:val="nil"/>
              <w:right w:val="single" w:color="000000" w:sz="4" w:space="0"/>
            </w:tcBorders>
            <w:shd w:val="clear" w:color="auto" w:fill="auto"/>
            <w:vAlign w:val="center"/>
          </w:tcPr>
          <w:p w14:paraId="4C02AA71">
            <w:pPr>
              <w:spacing w:line="240" w:lineRule="auto"/>
              <w:jc w:val="center"/>
              <w:outlineLvl w:val="0"/>
              <w:rPr>
                <w:rFonts w:ascii="微软雅黑" w:hAnsi="微软雅黑" w:eastAsia="微软雅黑" w:cs="宋体"/>
                <w:kern w:val="0"/>
                <w:sz w:val="16"/>
                <w:szCs w:val="16"/>
              </w:rPr>
            </w:pPr>
          </w:p>
        </w:tc>
      </w:tr>
      <w:tr w14:paraId="29EC9551">
        <w:tblPrEx>
          <w:tblCellMar>
            <w:top w:w="0" w:type="dxa"/>
            <w:left w:w="108" w:type="dxa"/>
            <w:bottom w:w="0" w:type="dxa"/>
            <w:right w:w="108" w:type="dxa"/>
          </w:tblCellMar>
        </w:tblPrEx>
        <w:trPr>
          <w:trHeight w:val="810"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473EC8BD">
            <w:pPr>
              <w:spacing w:line="240" w:lineRule="auto"/>
              <w:jc w:val="left"/>
              <w:outlineLvl w:val="0"/>
              <w:rPr>
                <w:rFonts w:ascii="微软雅黑" w:hAnsi="微软雅黑" w:eastAsia="微软雅黑" w:cs="宋体"/>
                <w:kern w:val="0"/>
                <w:sz w:val="16"/>
                <w:szCs w:val="16"/>
              </w:rPr>
            </w:pPr>
            <w:r>
              <w:rPr>
                <w:rFonts w:hint="eastAsia" w:ascii="微软雅黑" w:hAnsi="微软雅黑" w:eastAsia="微软雅黑" w:cs="宋体"/>
                <w:b/>
                <w:bCs/>
                <w:kern w:val="0"/>
                <w:sz w:val="18"/>
                <w:szCs w:val="18"/>
              </w:rPr>
              <w:t>教学管理软件</w:t>
            </w:r>
          </w:p>
        </w:tc>
        <w:tc>
          <w:tcPr>
            <w:tcW w:w="5163" w:type="dxa"/>
            <w:tcBorders>
              <w:top w:val="nil"/>
              <w:left w:val="nil"/>
              <w:bottom w:val="single" w:color="000000" w:sz="4" w:space="0"/>
              <w:right w:val="single" w:color="000000" w:sz="4" w:space="0"/>
            </w:tcBorders>
            <w:shd w:val="clear" w:color="auto" w:fill="auto"/>
            <w:vAlign w:val="center"/>
          </w:tcPr>
          <w:p w14:paraId="4FC0724B">
            <w:pPr>
              <w:spacing w:line="240" w:lineRule="auto"/>
              <w:jc w:val="left"/>
              <w:outlineLvl w:val="0"/>
              <w:rPr>
                <w:rFonts w:ascii="微软雅黑" w:hAnsi="微软雅黑" w:eastAsia="微软雅黑" w:cs="宋体"/>
                <w:kern w:val="0"/>
                <w:sz w:val="16"/>
                <w:szCs w:val="16"/>
                <w:lang w:val="en-US" w:eastAsia="zh-CN" w:bidi="ar-SA"/>
              </w:rPr>
            </w:pPr>
            <w:r>
              <w:rPr>
                <w:rFonts w:hint="eastAsia" w:ascii="微软雅黑" w:hAnsi="微软雅黑" w:eastAsia="微软雅黑" w:cs="宋体"/>
                <w:kern w:val="0"/>
                <w:sz w:val="16"/>
                <w:szCs w:val="16"/>
              </w:rPr>
              <w:t>桌面授权，云桌面教学管理软件是云课堂在为师生互动教学打造的一款多媒体教学管理软件，与云课堂所采用的虚拟化技术无缝结合。</w:t>
            </w:r>
          </w:p>
        </w:tc>
        <w:tc>
          <w:tcPr>
            <w:tcW w:w="791" w:type="dxa"/>
            <w:tcBorders>
              <w:top w:val="nil"/>
              <w:left w:val="nil"/>
              <w:bottom w:val="single" w:color="000000" w:sz="4" w:space="0"/>
              <w:right w:val="single" w:color="000000" w:sz="4" w:space="0"/>
            </w:tcBorders>
            <w:shd w:val="clear" w:color="auto" w:fill="auto"/>
            <w:vAlign w:val="center"/>
          </w:tcPr>
          <w:p w14:paraId="583A7B5E">
            <w:pPr>
              <w:spacing w:line="240" w:lineRule="auto"/>
              <w:jc w:val="center"/>
              <w:outlineLvl w:val="0"/>
              <w:rPr>
                <w:rFonts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144</w:t>
            </w:r>
          </w:p>
        </w:tc>
        <w:tc>
          <w:tcPr>
            <w:tcW w:w="1590" w:type="dxa"/>
            <w:vMerge w:val="continue"/>
            <w:tcBorders>
              <w:left w:val="nil"/>
              <w:right w:val="single" w:color="000000" w:sz="4" w:space="0"/>
            </w:tcBorders>
            <w:shd w:val="clear" w:color="auto" w:fill="auto"/>
            <w:vAlign w:val="center"/>
          </w:tcPr>
          <w:p w14:paraId="70CB9500">
            <w:pPr>
              <w:spacing w:line="240" w:lineRule="auto"/>
              <w:jc w:val="center"/>
              <w:outlineLvl w:val="0"/>
              <w:rPr>
                <w:rFonts w:ascii="微软雅黑" w:hAnsi="微软雅黑" w:eastAsia="微软雅黑" w:cs="宋体"/>
                <w:kern w:val="0"/>
                <w:sz w:val="16"/>
                <w:szCs w:val="16"/>
              </w:rPr>
            </w:pPr>
          </w:p>
        </w:tc>
      </w:tr>
      <w:tr w14:paraId="2AE28E22">
        <w:tblPrEx>
          <w:tblCellMar>
            <w:top w:w="0" w:type="dxa"/>
            <w:left w:w="108" w:type="dxa"/>
            <w:bottom w:w="0" w:type="dxa"/>
            <w:right w:w="108" w:type="dxa"/>
          </w:tblCellMar>
        </w:tblPrEx>
        <w:trPr>
          <w:trHeight w:val="345" w:hRule="atLeast"/>
        </w:trPr>
        <w:tc>
          <w:tcPr>
            <w:tcW w:w="734" w:type="dxa"/>
            <w:vMerge w:val="restart"/>
            <w:tcBorders>
              <w:top w:val="nil"/>
              <w:left w:val="single" w:color="000000" w:sz="4" w:space="0"/>
              <w:right w:val="single" w:color="000000" w:sz="4" w:space="0"/>
            </w:tcBorders>
            <w:shd w:val="clear" w:color="auto" w:fill="auto"/>
            <w:vAlign w:val="center"/>
          </w:tcPr>
          <w:p w14:paraId="00DADA7D">
            <w:pPr>
              <w:spacing w:line="240" w:lineRule="auto"/>
              <w:jc w:val="left"/>
              <w:outlineLvl w:val="0"/>
              <w:rPr>
                <w:rFonts w:ascii="微软雅黑" w:hAnsi="微软雅黑" w:eastAsia="微软雅黑" w:cs="宋体"/>
                <w:kern w:val="0"/>
                <w:sz w:val="16"/>
                <w:szCs w:val="16"/>
              </w:rPr>
            </w:pPr>
            <w:r>
              <w:rPr>
                <w:rFonts w:hint="eastAsia" w:ascii="微软雅黑" w:hAnsi="微软雅黑" w:eastAsia="微软雅黑" w:cs="宋体"/>
                <w:b/>
                <w:bCs/>
                <w:kern w:val="0"/>
                <w:sz w:val="18"/>
                <w:szCs w:val="18"/>
              </w:rPr>
              <w:t>教室侧接入交换机</w:t>
            </w:r>
          </w:p>
        </w:tc>
        <w:tc>
          <w:tcPr>
            <w:tcW w:w="5163" w:type="dxa"/>
            <w:tcBorders>
              <w:top w:val="nil"/>
              <w:left w:val="nil"/>
              <w:bottom w:val="single" w:color="000000" w:sz="4" w:space="0"/>
              <w:right w:val="single" w:color="000000" w:sz="4" w:space="0"/>
            </w:tcBorders>
            <w:shd w:val="clear" w:color="auto" w:fill="auto"/>
            <w:vAlign w:val="center"/>
          </w:tcPr>
          <w:p w14:paraId="6556562A">
            <w:pPr>
              <w:spacing w:line="240" w:lineRule="auto"/>
              <w:jc w:val="left"/>
              <w:outlineLvl w:val="0"/>
              <w:rPr>
                <w:rFonts w:ascii="微软雅黑" w:hAnsi="微软雅黑" w:eastAsia="微软雅黑" w:cs="宋体"/>
                <w:kern w:val="0"/>
                <w:sz w:val="16"/>
                <w:szCs w:val="16"/>
                <w:lang w:val="en-US" w:eastAsia="zh-CN" w:bidi="ar-SA"/>
              </w:rPr>
            </w:pPr>
            <w:r>
              <w:rPr>
                <w:rFonts w:hint="eastAsia" w:ascii="微软雅黑" w:hAnsi="微软雅黑" w:eastAsia="微软雅黑" w:cs="宋体"/>
                <w:kern w:val="0"/>
                <w:sz w:val="16"/>
                <w:szCs w:val="16"/>
              </w:rPr>
              <w:t>48个10/100/1000M自适应电口，4个10G/1G SFP+光口。</w:t>
            </w:r>
          </w:p>
        </w:tc>
        <w:tc>
          <w:tcPr>
            <w:tcW w:w="791" w:type="dxa"/>
            <w:tcBorders>
              <w:top w:val="nil"/>
              <w:left w:val="nil"/>
              <w:bottom w:val="single" w:color="000000" w:sz="4" w:space="0"/>
              <w:right w:val="single" w:color="000000" w:sz="4" w:space="0"/>
            </w:tcBorders>
            <w:shd w:val="clear" w:color="auto" w:fill="auto"/>
            <w:vAlign w:val="center"/>
          </w:tcPr>
          <w:p w14:paraId="593FB094">
            <w:pPr>
              <w:spacing w:line="240" w:lineRule="auto"/>
              <w:jc w:val="center"/>
              <w:outlineLvl w:val="0"/>
              <w:rPr>
                <w:rFonts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3</w:t>
            </w:r>
          </w:p>
        </w:tc>
        <w:tc>
          <w:tcPr>
            <w:tcW w:w="1590" w:type="dxa"/>
            <w:vMerge w:val="continue"/>
            <w:tcBorders>
              <w:left w:val="nil"/>
              <w:right w:val="single" w:color="000000" w:sz="4" w:space="0"/>
            </w:tcBorders>
            <w:shd w:val="clear" w:color="auto" w:fill="auto"/>
            <w:vAlign w:val="center"/>
          </w:tcPr>
          <w:p w14:paraId="1A04F6E4">
            <w:pPr>
              <w:spacing w:line="240" w:lineRule="auto"/>
              <w:jc w:val="center"/>
              <w:outlineLvl w:val="0"/>
              <w:rPr>
                <w:rFonts w:ascii="微软雅黑" w:hAnsi="微软雅黑" w:eastAsia="微软雅黑" w:cs="宋体"/>
                <w:kern w:val="0"/>
                <w:sz w:val="16"/>
                <w:szCs w:val="16"/>
              </w:rPr>
            </w:pPr>
          </w:p>
        </w:tc>
      </w:tr>
      <w:tr w14:paraId="12B36857">
        <w:tblPrEx>
          <w:tblCellMar>
            <w:top w:w="0" w:type="dxa"/>
            <w:left w:w="108" w:type="dxa"/>
            <w:bottom w:w="0" w:type="dxa"/>
            <w:right w:w="108" w:type="dxa"/>
          </w:tblCellMar>
        </w:tblPrEx>
        <w:trPr>
          <w:trHeight w:val="345" w:hRule="atLeast"/>
        </w:trPr>
        <w:tc>
          <w:tcPr>
            <w:tcW w:w="734" w:type="dxa"/>
            <w:vMerge w:val="continue"/>
            <w:tcBorders>
              <w:left w:val="single" w:color="000000" w:sz="4" w:space="0"/>
              <w:right w:val="single" w:color="000000" w:sz="4" w:space="0"/>
            </w:tcBorders>
            <w:shd w:val="clear" w:color="auto" w:fill="auto"/>
            <w:vAlign w:val="center"/>
          </w:tcPr>
          <w:p w14:paraId="7539981B">
            <w:pPr>
              <w:spacing w:line="240" w:lineRule="auto"/>
              <w:jc w:val="left"/>
              <w:outlineLvl w:val="0"/>
              <w:rPr>
                <w:rFonts w:ascii="微软雅黑" w:hAnsi="微软雅黑" w:eastAsia="微软雅黑" w:cs="宋体"/>
                <w:kern w:val="0"/>
                <w:sz w:val="16"/>
                <w:szCs w:val="16"/>
              </w:rPr>
            </w:pPr>
          </w:p>
        </w:tc>
        <w:tc>
          <w:tcPr>
            <w:tcW w:w="5163" w:type="dxa"/>
            <w:tcBorders>
              <w:top w:val="nil"/>
              <w:left w:val="nil"/>
              <w:bottom w:val="single" w:color="000000" w:sz="4" w:space="0"/>
              <w:right w:val="single" w:color="000000" w:sz="4" w:space="0"/>
            </w:tcBorders>
            <w:shd w:val="clear" w:color="auto" w:fill="auto"/>
            <w:vAlign w:val="center"/>
          </w:tcPr>
          <w:p w14:paraId="2ED3988D">
            <w:pPr>
              <w:spacing w:line="240" w:lineRule="auto"/>
              <w:jc w:val="left"/>
              <w:outlineLvl w:val="0"/>
              <w:rPr>
                <w:rFonts w:ascii="微软雅黑" w:hAnsi="微软雅黑" w:eastAsia="微软雅黑" w:cs="宋体"/>
                <w:kern w:val="0"/>
                <w:sz w:val="16"/>
                <w:szCs w:val="16"/>
                <w:lang w:val="en-US" w:eastAsia="zh-CN" w:bidi="ar-SA"/>
              </w:rPr>
            </w:pPr>
            <w:r>
              <w:rPr>
                <w:rFonts w:hint="eastAsia" w:ascii="微软雅黑" w:hAnsi="微软雅黑" w:eastAsia="微软雅黑" w:cs="宋体"/>
                <w:kern w:val="0"/>
                <w:sz w:val="16"/>
                <w:szCs w:val="16"/>
              </w:rPr>
              <w:t>1000BASE-GT mini GBIC转换模块，100m，光转电模块。</w:t>
            </w:r>
          </w:p>
        </w:tc>
        <w:tc>
          <w:tcPr>
            <w:tcW w:w="791" w:type="dxa"/>
            <w:tcBorders>
              <w:top w:val="nil"/>
              <w:left w:val="nil"/>
              <w:bottom w:val="single" w:color="000000" w:sz="4" w:space="0"/>
              <w:right w:val="single" w:color="000000" w:sz="4" w:space="0"/>
            </w:tcBorders>
            <w:shd w:val="clear" w:color="auto" w:fill="auto"/>
            <w:vAlign w:val="center"/>
          </w:tcPr>
          <w:p w14:paraId="0E7792B7">
            <w:pPr>
              <w:spacing w:line="240" w:lineRule="auto"/>
              <w:jc w:val="center"/>
              <w:outlineLvl w:val="0"/>
              <w:rPr>
                <w:rFonts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6</w:t>
            </w:r>
          </w:p>
        </w:tc>
        <w:tc>
          <w:tcPr>
            <w:tcW w:w="1590" w:type="dxa"/>
            <w:vMerge w:val="continue"/>
            <w:tcBorders>
              <w:left w:val="nil"/>
              <w:right w:val="single" w:color="000000" w:sz="4" w:space="0"/>
            </w:tcBorders>
            <w:shd w:val="clear" w:color="auto" w:fill="auto"/>
            <w:vAlign w:val="center"/>
          </w:tcPr>
          <w:p w14:paraId="328EFC50">
            <w:pPr>
              <w:spacing w:line="240" w:lineRule="auto"/>
              <w:jc w:val="center"/>
              <w:outlineLvl w:val="0"/>
              <w:rPr>
                <w:rFonts w:ascii="微软雅黑" w:hAnsi="微软雅黑" w:eastAsia="微软雅黑" w:cs="宋体"/>
                <w:kern w:val="0"/>
                <w:sz w:val="16"/>
                <w:szCs w:val="16"/>
              </w:rPr>
            </w:pPr>
          </w:p>
        </w:tc>
      </w:tr>
      <w:tr w14:paraId="5CE68182">
        <w:tblPrEx>
          <w:tblCellMar>
            <w:top w:w="0" w:type="dxa"/>
            <w:left w:w="108" w:type="dxa"/>
            <w:bottom w:w="0" w:type="dxa"/>
            <w:right w:w="108" w:type="dxa"/>
          </w:tblCellMar>
        </w:tblPrEx>
        <w:trPr>
          <w:trHeight w:val="345" w:hRule="atLeast"/>
        </w:trPr>
        <w:tc>
          <w:tcPr>
            <w:tcW w:w="734" w:type="dxa"/>
            <w:vMerge w:val="continue"/>
            <w:tcBorders>
              <w:left w:val="single" w:color="000000" w:sz="4" w:space="0"/>
              <w:bottom w:val="single" w:color="000000" w:sz="4" w:space="0"/>
              <w:right w:val="single" w:color="000000" w:sz="4" w:space="0"/>
            </w:tcBorders>
            <w:shd w:val="clear" w:color="auto" w:fill="auto"/>
            <w:vAlign w:val="center"/>
          </w:tcPr>
          <w:p w14:paraId="09C2C367">
            <w:pPr>
              <w:spacing w:line="240" w:lineRule="auto"/>
              <w:jc w:val="left"/>
              <w:outlineLvl w:val="0"/>
              <w:rPr>
                <w:rFonts w:ascii="微软雅黑" w:hAnsi="微软雅黑" w:eastAsia="微软雅黑" w:cs="宋体"/>
                <w:kern w:val="0"/>
                <w:sz w:val="16"/>
                <w:szCs w:val="16"/>
              </w:rPr>
            </w:pPr>
          </w:p>
        </w:tc>
        <w:tc>
          <w:tcPr>
            <w:tcW w:w="5163" w:type="dxa"/>
            <w:tcBorders>
              <w:top w:val="nil"/>
              <w:left w:val="nil"/>
              <w:bottom w:val="single" w:color="000000" w:sz="4" w:space="0"/>
              <w:right w:val="single" w:color="000000" w:sz="4" w:space="0"/>
            </w:tcBorders>
            <w:shd w:val="clear" w:color="auto" w:fill="auto"/>
            <w:vAlign w:val="center"/>
          </w:tcPr>
          <w:p w14:paraId="6FEB082C">
            <w:pPr>
              <w:spacing w:line="240" w:lineRule="auto"/>
              <w:jc w:val="left"/>
              <w:outlineLvl w:val="0"/>
              <w:rPr>
                <w:rFonts w:ascii="微软雅黑" w:hAnsi="微软雅黑" w:eastAsia="微软雅黑" w:cs="宋体"/>
                <w:kern w:val="0"/>
                <w:sz w:val="16"/>
                <w:szCs w:val="16"/>
                <w:lang w:val="en-US" w:eastAsia="zh-CN" w:bidi="ar-SA"/>
              </w:rPr>
            </w:pPr>
            <w:r>
              <w:rPr>
                <w:rFonts w:hint="eastAsia" w:ascii="微软雅黑" w:hAnsi="微软雅黑" w:eastAsia="微软雅黑" w:cs="宋体"/>
                <w:kern w:val="0"/>
                <w:sz w:val="16"/>
                <w:szCs w:val="16"/>
              </w:rPr>
              <w:t>万兆LC接口模块，适用于SFP+接口。</w:t>
            </w:r>
          </w:p>
        </w:tc>
        <w:tc>
          <w:tcPr>
            <w:tcW w:w="791" w:type="dxa"/>
            <w:tcBorders>
              <w:top w:val="nil"/>
              <w:left w:val="nil"/>
              <w:bottom w:val="single" w:color="000000" w:sz="4" w:space="0"/>
              <w:right w:val="single" w:color="000000" w:sz="4" w:space="0"/>
            </w:tcBorders>
            <w:shd w:val="clear" w:color="auto" w:fill="auto"/>
            <w:vAlign w:val="center"/>
          </w:tcPr>
          <w:p w14:paraId="2B963839">
            <w:pPr>
              <w:spacing w:line="240" w:lineRule="auto"/>
              <w:jc w:val="center"/>
              <w:outlineLvl w:val="0"/>
              <w:rPr>
                <w:rFonts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6</w:t>
            </w:r>
          </w:p>
        </w:tc>
        <w:tc>
          <w:tcPr>
            <w:tcW w:w="1590" w:type="dxa"/>
            <w:vMerge w:val="continue"/>
            <w:tcBorders>
              <w:left w:val="nil"/>
              <w:right w:val="single" w:color="000000" w:sz="4" w:space="0"/>
            </w:tcBorders>
            <w:shd w:val="clear" w:color="auto" w:fill="auto"/>
            <w:vAlign w:val="center"/>
          </w:tcPr>
          <w:p w14:paraId="50BD7B5D">
            <w:pPr>
              <w:spacing w:line="240" w:lineRule="auto"/>
              <w:jc w:val="center"/>
              <w:outlineLvl w:val="0"/>
              <w:rPr>
                <w:rFonts w:ascii="微软雅黑" w:hAnsi="微软雅黑" w:eastAsia="微软雅黑" w:cs="宋体"/>
                <w:kern w:val="0"/>
                <w:sz w:val="16"/>
                <w:szCs w:val="16"/>
              </w:rPr>
            </w:pPr>
          </w:p>
        </w:tc>
      </w:tr>
      <w:tr w14:paraId="2BFA99C7">
        <w:tblPrEx>
          <w:tblCellMar>
            <w:top w:w="0" w:type="dxa"/>
            <w:left w:w="108" w:type="dxa"/>
            <w:bottom w:w="0" w:type="dxa"/>
            <w:right w:w="108" w:type="dxa"/>
          </w:tblCellMar>
        </w:tblPrEx>
        <w:trPr>
          <w:trHeight w:val="345"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76D0E844">
            <w:pPr>
              <w:spacing w:line="240" w:lineRule="auto"/>
              <w:jc w:val="left"/>
              <w:outlineLvl w:val="0"/>
              <w:rPr>
                <w:rFonts w:ascii="微软雅黑" w:hAnsi="微软雅黑" w:eastAsia="微软雅黑" w:cs="宋体"/>
                <w:kern w:val="0"/>
                <w:sz w:val="16"/>
                <w:szCs w:val="16"/>
              </w:rPr>
            </w:pPr>
            <w:r>
              <w:rPr>
                <w:rFonts w:hint="eastAsia" w:ascii="微软雅黑" w:hAnsi="微软雅黑" w:eastAsia="微软雅黑" w:cs="宋体"/>
                <w:b/>
                <w:bCs/>
                <w:kern w:val="0"/>
                <w:sz w:val="18"/>
                <w:szCs w:val="18"/>
              </w:rPr>
              <w:t>服务器接入万兆模块</w:t>
            </w:r>
          </w:p>
        </w:tc>
        <w:tc>
          <w:tcPr>
            <w:tcW w:w="5163" w:type="dxa"/>
            <w:tcBorders>
              <w:top w:val="nil"/>
              <w:left w:val="nil"/>
              <w:bottom w:val="single" w:color="000000" w:sz="4" w:space="0"/>
              <w:right w:val="single" w:color="000000" w:sz="4" w:space="0"/>
            </w:tcBorders>
            <w:shd w:val="clear" w:color="auto" w:fill="auto"/>
            <w:vAlign w:val="center"/>
          </w:tcPr>
          <w:p w14:paraId="65A9CA9F">
            <w:pPr>
              <w:spacing w:line="240" w:lineRule="auto"/>
              <w:jc w:val="left"/>
              <w:outlineLvl w:val="0"/>
              <w:rPr>
                <w:rFonts w:ascii="微软雅黑" w:hAnsi="微软雅黑" w:eastAsia="微软雅黑" w:cs="宋体"/>
                <w:kern w:val="0"/>
                <w:sz w:val="16"/>
                <w:szCs w:val="16"/>
                <w:lang w:val="en-US" w:eastAsia="zh-CN" w:bidi="ar-SA"/>
              </w:rPr>
            </w:pPr>
            <w:r>
              <w:rPr>
                <w:rFonts w:hint="eastAsia" w:ascii="微软雅黑" w:hAnsi="微软雅黑" w:eastAsia="微软雅黑" w:cs="宋体"/>
                <w:kern w:val="0"/>
                <w:sz w:val="16"/>
                <w:szCs w:val="16"/>
              </w:rPr>
              <w:t>万兆LC接口模块，适用于SFP+接口。</w:t>
            </w:r>
          </w:p>
        </w:tc>
        <w:tc>
          <w:tcPr>
            <w:tcW w:w="791" w:type="dxa"/>
            <w:tcBorders>
              <w:top w:val="nil"/>
              <w:left w:val="nil"/>
              <w:bottom w:val="single" w:color="000000" w:sz="4" w:space="0"/>
              <w:right w:val="single" w:color="000000" w:sz="4" w:space="0"/>
            </w:tcBorders>
            <w:shd w:val="clear" w:color="auto" w:fill="auto"/>
            <w:vAlign w:val="center"/>
          </w:tcPr>
          <w:p w14:paraId="7AD19B69">
            <w:pPr>
              <w:spacing w:line="240" w:lineRule="auto"/>
              <w:jc w:val="center"/>
              <w:outlineLvl w:val="0"/>
              <w:rPr>
                <w:rFonts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32</w:t>
            </w:r>
          </w:p>
        </w:tc>
        <w:tc>
          <w:tcPr>
            <w:tcW w:w="1590" w:type="dxa"/>
            <w:vMerge w:val="continue"/>
            <w:tcBorders>
              <w:left w:val="nil"/>
              <w:right w:val="single" w:color="000000" w:sz="4" w:space="0"/>
            </w:tcBorders>
            <w:shd w:val="clear" w:color="auto" w:fill="auto"/>
            <w:vAlign w:val="center"/>
          </w:tcPr>
          <w:p w14:paraId="48E9BB5B">
            <w:pPr>
              <w:spacing w:line="240" w:lineRule="auto"/>
              <w:jc w:val="center"/>
              <w:outlineLvl w:val="0"/>
              <w:rPr>
                <w:rFonts w:ascii="微软雅黑" w:hAnsi="微软雅黑" w:eastAsia="微软雅黑" w:cs="宋体"/>
                <w:kern w:val="0"/>
                <w:sz w:val="16"/>
                <w:szCs w:val="16"/>
              </w:rPr>
            </w:pPr>
          </w:p>
        </w:tc>
      </w:tr>
      <w:tr w14:paraId="36A023BF">
        <w:tblPrEx>
          <w:tblCellMar>
            <w:top w:w="0" w:type="dxa"/>
            <w:left w:w="108" w:type="dxa"/>
            <w:bottom w:w="0" w:type="dxa"/>
            <w:right w:w="108" w:type="dxa"/>
          </w:tblCellMar>
        </w:tblPrEx>
        <w:trPr>
          <w:trHeight w:val="540" w:hRule="atLeast"/>
        </w:trPr>
        <w:tc>
          <w:tcPr>
            <w:tcW w:w="734" w:type="dxa"/>
            <w:vMerge w:val="restart"/>
            <w:tcBorders>
              <w:top w:val="nil"/>
              <w:left w:val="single" w:color="000000" w:sz="4" w:space="0"/>
              <w:right w:val="single" w:color="000000" w:sz="4" w:space="0"/>
            </w:tcBorders>
            <w:shd w:val="clear" w:color="auto" w:fill="auto"/>
            <w:vAlign w:val="center"/>
          </w:tcPr>
          <w:p w14:paraId="4A862781">
            <w:pPr>
              <w:spacing w:line="240" w:lineRule="auto"/>
              <w:jc w:val="left"/>
              <w:outlineLvl w:val="0"/>
              <w:rPr>
                <w:rFonts w:ascii="微软雅黑" w:hAnsi="微软雅黑" w:eastAsia="微软雅黑" w:cs="宋体"/>
                <w:kern w:val="0"/>
                <w:sz w:val="16"/>
                <w:szCs w:val="16"/>
              </w:rPr>
            </w:pPr>
            <w:r>
              <w:rPr>
                <w:rFonts w:hint="eastAsia" w:ascii="微软雅黑" w:hAnsi="微软雅黑" w:eastAsia="微软雅黑" w:cs="宋体"/>
                <w:b/>
                <w:bCs/>
                <w:kern w:val="0"/>
                <w:sz w:val="18"/>
                <w:szCs w:val="18"/>
              </w:rPr>
              <w:t>数据中心交换机</w:t>
            </w:r>
          </w:p>
        </w:tc>
        <w:tc>
          <w:tcPr>
            <w:tcW w:w="5163" w:type="dxa"/>
            <w:tcBorders>
              <w:top w:val="nil"/>
              <w:left w:val="nil"/>
              <w:bottom w:val="single" w:color="000000" w:sz="4" w:space="0"/>
              <w:right w:val="single" w:color="000000" w:sz="4" w:space="0"/>
            </w:tcBorders>
            <w:shd w:val="clear" w:color="auto" w:fill="auto"/>
            <w:vAlign w:val="center"/>
          </w:tcPr>
          <w:p w14:paraId="7B98AF1F">
            <w:pPr>
              <w:spacing w:line="240" w:lineRule="auto"/>
              <w:jc w:val="left"/>
              <w:outlineLvl w:val="0"/>
              <w:rPr>
                <w:rFonts w:ascii="微软雅黑" w:hAnsi="微软雅黑" w:eastAsia="微软雅黑" w:cs="宋体"/>
                <w:kern w:val="0"/>
                <w:sz w:val="16"/>
                <w:szCs w:val="16"/>
                <w:lang w:val="en-US" w:eastAsia="zh-CN" w:bidi="ar-SA"/>
              </w:rPr>
            </w:pPr>
            <w:r>
              <w:rPr>
                <w:rFonts w:hint="eastAsia" w:ascii="微软雅黑" w:hAnsi="微软雅黑" w:eastAsia="微软雅黑" w:cs="宋体"/>
                <w:kern w:val="0"/>
                <w:sz w:val="16"/>
                <w:szCs w:val="16"/>
              </w:rPr>
              <w:t>48个1G/10G SFP28光接口,8个40/100G QSFP28光口，2个电源插槽，4个风扇插槽，主机已配2+1冗余模块化风扇。</w:t>
            </w:r>
          </w:p>
        </w:tc>
        <w:tc>
          <w:tcPr>
            <w:tcW w:w="791" w:type="dxa"/>
            <w:tcBorders>
              <w:top w:val="nil"/>
              <w:left w:val="nil"/>
              <w:bottom w:val="single" w:color="000000" w:sz="4" w:space="0"/>
              <w:right w:val="single" w:color="000000" w:sz="4" w:space="0"/>
            </w:tcBorders>
            <w:shd w:val="clear" w:color="auto" w:fill="auto"/>
            <w:vAlign w:val="center"/>
          </w:tcPr>
          <w:p w14:paraId="0050B6D7">
            <w:pPr>
              <w:spacing w:line="240" w:lineRule="auto"/>
              <w:jc w:val="center"/>
              <w:outlineLvl w:val="0"/>
              <w:rPr>
                <w:rFonts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1</w:t>
            </w:r>
          </w:p>
        </w:tc>
        <w:tc>
          <w:tcPr>
            <w:tcW w:w="1590" w:type="dxa"/>
            <w:vMerge w:val="continue"/>
            <w:tcBorders>
              <w:left w:val="nil"/>
              <w:right w:val="single" w:color="000000" w:sz="4" w:space="0"/>
            </w:tcBorders>
            <w:shd w:val="clear" w:color="auto" w:fill="auto"/>
            <w:vAlign w:val="center"/>
          </w:tcPr>
          <w:p w14:paraId="2EC892A9">
            <w:pPr>
              <w:spacing w:line="240" w:lineRule="auto"/>
              <w:jc w:val="center"/>
              <w:outlineLvl w:val="0"/>
              <w:rPr>
                <w:rFonts w:ascii="微软雅黑" w:hAnsi="微软雅黑" w:eastAsia="微软雅黑" w:cs="宋体"/>
                <w:kern w:val="0"/>
                <w:sz w:val="16"/>
                <w:szCs w:val="16"/>
              </w:rPr>
            </w:pPr>
          </w:p>
        </w:tc>
      </w:tr>
      <w:tr w14:paraId="031DB5E6">
        <w:tblPrEx>
          <w:tblCellMar>
            <w:top w:w="0" w:type="dxa"/>
            <w:left w:w="108" w:type="dxa"/>
            <w:bottom w:w="0" w:type="dxa"/>
            <w:right w:w="108" w:type="dxa"/>
          </w:tblCellMar>
        </w:tblPrEx>
        <w:trPr>
          <w:trHeight w:val="345" w:hRule="atLeast"/>
        </w:trPr>
        <w:tc>
          <w:tcPr>
            <w:tcW w:w="734" w:type="dxa"/>
            <w:vMerge w:val="continue"/>
            <w:tcBorders>
              <w:left w:val="single" w:color="000000" w:sz="4" w:space="0"/>
              <w:right w:val="single" w:color="000000" w:sz="4" w:space="0"/>
            </w:tcBorders>
            <w:shd w:val="clear" w:color="auto" w:fill="auto"/>
            <w:vAlign w:val="center"/>
          </w:tcPr>
          <w:p w14:paraId="1805768D">
            <w:pPr>
              <w:spacing w:line="240" w:lineRule="auto"/>
              <w:jc w:val="left"/>
              <w:outlineLvl w:val="0"/>
              <w:rPr>
                <w:rFonts w:ascii="微软雅黑" w:hAnsi="微软雅黑" w:eastAsia="微软雅黑" w:cs="宋体"/>
                <w:kern w:val="0"/>
                <w:sz w:val="16"/>
                <w:szCs w:val="16"/>
              </w:rPr>
            </w:pPr>
          </w:p>
        </w:tc>
        <w:tc>
          <w:tcPr>
            <w:tcW w:w="5163" w:type="dxa"/>
            <w:tcBorders>
              <w:top w:val="nil"/>
              <w:left w:val="nil"/>
              <w:bottom w:val="single" w:color="000000" w:sz="4" w:space="0"/>
              <w:right w:val="single" w:color="000000" w:sz="4" w:space="0"/>
            </w:tcBorders>
            <w:shd w:val="clear" w:color="auto" w:fill="auto"/>
            <w:vAlign w:val="center"/>
          </w:tcPr>
          <w:p w14:paraId="6756F0B9">
            <w:pPr>
              <w:spacing w:line="240" w:lineRule="auto"/>
              <w:jc w:val="left"/>
              <w:outlineLvl w:val="0"/>
              <w:rPr>
                <w:rFonts w:ascii="微软雅黑" w:hAnsi="微软雅黑" w:eastAsia="微软雅黑" w:cs="宋体"/>
                <w:kern w:val="0"/>
                <w:sz w:val="16"/>
                <w:szCs w:val="16"/>
                <w:lang w:val="en-US" w:eastAsia="zh-CN" w:bidi="ar-SA"/>
              </w:rPr>
            </w:pPr>
            <w:r>
              <w:rPr>
                <w:rFonts w:hint="eastAsia" w:ascii="微软雅黑" w:hAnsi="微软雅黑" w:eastAsia="微软雅黑" w:cs="宋体"/>
                <w:kern w:val="0"/>
                <w:sz w:val="16"/>
                <w:szCs w:val="16"/>
              </w:rPr>
              <w:t>550W交流电源模块。</w:t>
            </w:r>
          </w:p>
        </w:tc>
        <w:tc>
          <w:tcPr>
            <w:tcW w:w="791" w:type="dxa"/>
            <w:tcBorders>
              <w:top w:val="nil"/>
              <w:left w:val="nil"/>
              <w:bottom w:val="single" w:color="000000" w:sz="4" w:space="0"/>
              <w:right w:val="single" w:color="000000" w:sz="4" w:space="0"/>
            </w:tcBorders>
            <w:shd w:val="clear" w:color="auto" w:fill="auto"/>
            <w:vAlign w:val="center"/>
          </w:tcPr>
          <w:p w14:paraId="06A664A2">
            <w:pPr>
              <w:spacing w:line="240" w:lineRule="auto"/>
              <w:jc w:val="center"/>
              <w:outlineLvl w:val="0"/>
              <w:rPr>
                <w:rFonts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2</w:t>
            </w:r>
          </w:p>
        </w:tc>
        <w:tc>
          <w:tcPr>
            <w:tcW w:w="1590" w:type="dxa"/>
            <w:vMerge w:val="continue"/>
            <w:tcBorders>
              <w:left w:val="nil"/>
              <w:right w:val="single" w:color="000000" w:sz="4" w:space="0"/>
            </w:tcBorders>
            <w:shd w:val="clear" w:color="auto" w:fill="auto"/>
            <w:vAlign w:val="center"/>
          </w:tcPr>
          <w:p w14:paraId="29BC4B73">
            <w:pPr>
              <w:spacing w:line="240" w:lineRule="auto"/>
              <w:jc w:val="center"/>
              <w:outlineLvl w:val="0"/>
              <w:rPr>
                <w:rFonts w:ascii="微软雅黑" w:hAnsi="微软雅黑" w:eastAsia="微软雅黑" w:cs="宋体"/>
                <w:kern w:val="0"/>
                <w:sz w:val="16"/>
                <w:szCs w:val="16"/>
              </w:rPr>
            </w:pPr>
          </w:p>
        </w:tc>
      </w:tr>
      <w:tr w14:paraId="7E6676FF">
        <w:tblPrEx>
          <w:tblCellMar>
            <w:top w:w="0" w:type="dxa"/>
            <w:left w:w="108" w:type="dxa"/>
            <w:bottom w:w="0" w:type="dxa"/>
            <w:right w:w="108" w:type="dxa"/>
          </w:tblCellMar>
        </w:tblPrEx>
        <w:trPr>
          <w:trHeight w:val="345" w:hRule="atLeast"/>
        </w:trPr>
        <w:tc>
          <w:tcPr>
            <w:tcW w:w="734" w:type="dxa"/>
            <w:vMerge w:val="continue"/>
            <w:tcBorders>
              <w:left w:val="single" w:color="000000" w:sz="4" w:space="0"/>
              <w:bottom w:val="single" w:color="000000" w:sz="4" w:space="0"/>
              <w:right w:val="single" w:color="000000" w:sz="4" w:space="0"/>
            </w:tcBorders>
            <w:shd w:val="clear" w:color="auto" w:fill="auto"/>
            <w:vAlign w:val="center"/>
          </w:tcPr>
          <w:p w14:paraId="1BAC39B8">
            <w:pPr>
              <w:spacing w:line="240" w:lineRule="auto"/>
              <w:jc w:val="left"/>
              <w:outlineLvl w:val="0"/>
              <w:rPr>
                <w:rFonts w:ascii="微软雅黑" w:hAnsi="微软雅黑" w:eastAsia="微软雅黑" w:cs="宋体"/>
                <w:kern w:val="0"/>
                <w:sz w:val="16"/>
                <w:szCs w:val="16"/>
              </w:rPr>
            </w:pPr>
          </w:p>
        </w:tc>
        <w:tc>
          <w:tcPr>
            <w:tcW w:w="5163" w:type="dxa"/>
            <w:tcBorders>
              <w:top w:val="nil"/>
              <w:left w:val="nil"/>
              <w:bottom w:val="single" w:color="000000" w:sz="4" w:space="0"/>
              <w:right w:val="single" w:color="000000" w:sz="4" w:space="0"/>
            </w:tcBorders>
            <w:shd w:val="clear" w:color="auto" w:fill="auto"/>
            <w:vAlign w:val="center"/>
          </w:tcPr>
          <w:p w14:paraId="33463566">
            <w:pPr>
              <w:spacing w:line="240" w:lineRule="auto"/>
              <w:jc w:val="left"/>
              <w:outlineLvl w:val="0"/>
              <w:rPr>
                <w:rFonts w:ascii="微软雅黑" w:hAnsi="微软雅黑" w:eastAsia="微软雅黑" w:cs="宋体"/>
                <w:kern w:val="0"/>
                <w:sz w:val="16"/>
                <w:szCs w:val="16"/>
                <w:lang w:val="en-US" w:eastAsia="zh-CN" w:bidi="ar-SA"/>
              </w:rPr>
            </w:pPr>
            <w:r>
              <w:rPr>
                <w:rFonts w:hint="eastAsia" w:ascii="微软雅黑" w:hAnsi="微软雅黑" w:eastAsia="微软雅黑" w:cs="宋体"/>
                <w:kern w:val="0"/>
                <w:sz w:val="16"/>
                <w:szCs w:val="16"/>
              </w:rPr>
              <w:t>万兆LC接口模块（1310nm），10km，适用于SFP+接口。</w:t>
            </w:r>
          </w:p>
        </w:tc>
        <w:tc>
          <w:tcPr>
            <w:tcW w:w="791" w:type="dxa"/>
            <w:tcBorders>
              <w:top w:val="nil"/>
              <w:left w:val="nil"/>
              <w:bottom w:val="single" w:color="000000" w:sz="4" w:space="0"/>
              <w:right w:val="single" w:color="000000" w:sz="4" w:space="0"/>
            </w:tcBorders>
            <w:shd w:val="clear" w:color="auto" w:fill="auto"/>
            <w:vAlign w:val="center"/>
          </w:tcPr>
          <w:p w14:paraId="14848111">
            <w:pPr>
              <w:spacing w:line="240" w:lineRule="auto"/>
              <w:jc w:val="center"/>
              <w:outlineLvl w:val="0"/>
              <w:rPr>
                <w:rFonts w:ascii="微软雅黑" w:hAnsi="微软雅黑" w:eastAsia="微软雅黑" w:cs="宋体"/>
                <w:kern w:val="0"/>
                <w:sz w:val="18"/>
                <w:szCs w:val="18"/>
                <w:lang w:val="en-US" w:eastAsia="zh-CN" w:bidi="ar-SA"/>
              </w:rPr>
            </w:pPr>
            <w:r>
              <w:rPr>
                <w:rFonts w:hint="eastAsia" w:ascii="微软雅黑" w:hAnsi="微软雅黑" w:eastAsia="微软雅黑" w:cs="宋体"/>
                <w:kern w:val="0"/>
                <w:sz w:val="18"/>
                <w:szCs w:val="18"/>
              </w:rPr>
              <w:t>4</w:t>
            </w:r>
          </w:p>
        </w:tc>
        <w:tc>
          <w:tcPr>
            <w:tcW w:w="1590" w:type="dxa"/>
            <w:vMerge w:val="continue"/>
            <w:tcBorders>
              <w:left w:val="nil"/>
              <w:bottom w:val="single" w:color="000000" w:sz="4" w:space="0"/>
              <w:right w:val="single" w:color="000000" w:sz="4" w:space="0"/>
            </w:tcBorders>
            <w:shd w:val="clear" w:color="auto" w:fill="auto"/>
            <w:vAlign w:val="center"/>
          </w:tcPr>
          <w:p w14:paraId="57117B58">
            <w:pPr>
              <w:spacing w:line="240" w:lineRule="auto"/>
              <w:jc w:val="center"/>
              <w:outlineLvl w:val="0"/>
              <w:rPr>
                <w:rFonts w:ascii="微软雅黑" w:hAnsi="微软雅黑" w:eastAsia="微软雅黑" w:cs="宋体"/>
                <w:kern w:val="0"/>
                <w:sz w:val="16"/>
                <w:szCs w:val="16"/>
              </w:rPr>
            </w:pPr>
          </w:p>
        </w:tc>
      </w:tr>
    </w:tbl>
    <w:p w14:paraId="7DB14928">
      <w:pPr>
        <w:pStyle w:val="14"/>
        <w:numPr>
          <w:ilvl w:val="1"/>
          <w:numId w:val="0"/>
        </w:numPr>
        <w:rPr>
          <w:rFonts w:hint="default" w:ascii="Times New Roman" w:hAnsi="Times New Roman" w:eastAsia="仿宋" w:cs="Times New Roman"/>
          <w:kern w:val="2"/>
          <w:sz w:val="24"/>
          <w:szCs w:val="22"/>
          <w:shd w:val="clear"/>
          <w:lang w:val="en-US" w:eastAsia="zh-CN" w:bidi="ar-SA"/>
        </w:rPr>
      </w:pPr>
    </w:p>
    <w:p w14:paraId="3BD093AE">
      <w:pPr>
        <w:pStyle w:val="14"/>
        <w:ind w:left="426" w:hanging="568"/>
        <w:rPr>
          <w:rFonts w:asciiTheme="minorEastAsia" w:hAnsiTheme="minorEastAsia" w:eastAsiaTheme="minorEastAsia"/>
          <w:szCs w:val="24"/>
        </w:rPr>
      </w:pPr>
      <w:r>
        <w:rPr>
          <w:rFonts w:hint="eastAsia" w:asciiTheme="minorEastAsia" w:hAnsiTheme="minorEastAsia" w:eastAsiaTheme="minorEastAsia"/>
          <w:szCs w:val="24"/>
        </w:rPr>
        <w:t>技术参数</w:t>
      </w:r>
    </w:p>
    <w:p w14:paraId="165266C3">
      <w:pPr>
        <w:pStyle w:val="18"/>
        <w:ind w:left="567"/>
        <w:rPr>
          <w:rFonts w:asciiTheme="minorEastAsia" w:hAnsiTheme="minorEastAsia" w:eastAsiaTheme="minorEastAsia"/>
        </w:rPr>
      </w:pPr>
      <w:r>
        <w:rPr>
          <w:rFonts w:hint="eastAsia" w:asciiTheme="minorEastAsia" w:hAnsiTheme="minorEastAsia" w:eastAsiaTheme="minorEastAsia"/>
        </w:rPr>
        <w:t>云桌面服务器</w:t>
      </w:r>
    </w:p>
    <w:p w14:paraId="570E69E9">
      <w:r>
        <w:t>1）2U机架式服务器，CPU：实配企业级处理器≥2颗，每颗CPU≥32核心64线程，主频≥2.8Ghz；内存：实配内存容量≥512G（32G*16），服务器提供内存插槽≥32个；硬盘：实配SSD容量≥</w:t>
      </w:r>
      <w:r>
        <w:rPr>
          <w:rFonts w:hint="eastAsia"/>
          <w:lang w:val="en-US" w:eastAsia="zh-CN"/>
        </w:rPr>
        <w:t>1920</w:t>
      </w:r>
      <w:r>
        <w:t>GB（</w:t>
      </w:r>
      <w:r>
        <w:rPr>
          <w:rFonts w:hint="eastAsia"/>
          <w:lang w:val="en-US" w:eastAsia="zh-CN"/>
        </w:rPr>
        <w:t>4</w:t>
      </w:r>
      <w:r>
        <w:t>*480G）；实配HDD硬盘容量≥24T（3*8T）；</w:t>
      </w:r>
    </w:p>
    <w:p w14:paraId="3A74B3A4">
      <w:r>
        <w:t>2）网口：提供千兆网口≥2个，提供万兆光口≥2个；</w:t>
      </w:r>
    </w:p>
    <w:p w14:paraId="7F74748C">
      <w:r>
        <w:t>3）GPU卡：为了保证</w:t>
      </w:r>
      <w:r>
        <w:rPr>
          <w:rFonts w:hint="eastAsia"/>
        </w:rPr>
        <w:t>教学高性能应用的使用</w:t>
      </w:r>
      <w:r>
        <w:t>效果，要求单张显卡单精浮点计算能力（FP32）≥20 TFLOPs（不接受使用Tensor核心/混合精度的数据），要求提供官网截图证明；</w:t>
      </w:r>
    </w:p>
    <w:p w14:paraId="49296B83">
      <w:r>
        <w:t>4）GPU卡：配置≥3张企业级物理显卡，要求单张显卡提供显存容量≥32G（GDDR6），单台服务器最大可以使用显卡数量不少于5张，支持GPU虚拟化，单张物理显卡至少可以为12个桌面提供GPU资源，要求提供官网截图证明；</w:t>
      </w:r>
    </w:p>
    <w:p w14:paraId="2137BF61">
      <w:r>
        <w:t>5）电源：提供2个电源模块功率≥2000W；</w:t>
      </w:r>
    </w:p>
    <w:p w14:paraId="24754125">
      <w:r>
        <w:t>6）为了保证产品质量，所投设备需要国家检测中心出具的节能认证证书；</w:t>
      </w:r>
    </w:p>
    <w:p w14:paraId="4B4B9CEF">
      <w:r>
        <w:t>7）为保障所投设备质量优异，可靠性高，要求所投设备平均故障间隔时间（MTBF）≥200000小时，提供具有CNAS或CMA标识的第三方权威测试报告复印件；</w:t>
      </w:r>
    </w:p>
    <w:p w14:paraId="680A4019">
      <w:r>
        <w:t>8）为防止人体遭受辐射，要求所投产品在30MHz~1GHz、1GHz~6GHz频率范围内的辐射骚扰符合国家GB/T 9254的相关标准且测试结果为在生活环境中使用不会造成辐射以及无线电干扰，提供具有CNAS或CMA标识的第三方权威测试报告复印件。</w:t>
      </w:r>
    </w:p>
    <w:p w14:paraId="2249137C">
      <w:pPr>
        <w:pStyle w:val="18"/>
        <w:ind w:left="567"/>
        <w:rPr>
          <w:rFonts w:hint="eastAsia" w:asciiTheme="minorEastAsia" w:hAnsiTheme="minorEastAsia" w:eastAsiaTheme="minorEastAsia"/>
        </w:rPr>
      </w:pPr>
      <w:r>
        <w:rPr>
          <w:rFonts w:hint="eastAsia" w:asciiTheme="minorEastAsia" w:hAnsiTheme="minorEastAsia" w:eastAsiaTheme="minorEastAsia"/>
        </w:rPr>
        <w:t>VDI接入授权</w:t>
      </w:r>
    </w:p>
    <w:p w14:paraId="7D4B50BC">
      <w:r>
        <w:t>1）要求采用超融合基础架构，在同一管理平台内至少包含计算资源、存储资源、网络资源等功能管理模块。所有功能模块需要通过一个厂家的一套软件实现超融合部署，不可以使用多套软件或产品叠加实现；</w:t>
      </w:r>
    </w:p>
    <w:p w14:paraId="178E3728">
      <w:r>
        <w:t>2）管理平台采用B/S（Broswer/Server）架构，支持中文图形化操作界面，同一管理界面中可实现对计算、存储、网络等功能的配置和操作；</w:t>
      </w:r>
    </w:p>
    <w:p w14:paraId="173CD01A">
      <w:r>
        <w:t>3）软件平台支持添加、移除服务器主机节点，支持添加主机节点数≥44个；</w:t>
      </w:r>
    </w:p>
    <w:p w14:paraId="198ABA3C">
      <w:r>
        <w:t>4）为降低部署难度缩短业务上线时间，支持向导式添加主机节点，为降低部署难度，支持精简纳管主机节点，仅需输入主机节点名称、主机IP地址即可完成主机节点添加；</w:t>
      </w:r>
    </w:p>
    <w:p w14:paraId="116A6551">
      <w:r>
        <w:t>5）支持主机性能状态监控，能以小时、天、周、月、季度、半年、一年或自定义时间维度，对主机CPU使用率、内存使用率、磁盘速率、磁盘IOPS、网卡错误数、丢包率、网卡带宽等性能进行监控记录；</w:t>
      </w:r>
    </w:p>
    <w:p w14:paraId="346AE03B">
      <w:r>
        <w:t>6）为提供更高的得盘率及更优的访问速度，需采用分布式存储架构，可以将服务器集群中多个节点的本地磁盘融合为统一存储资源空间；具备在线横向扩展能力，任一节点故障，都不会影响数据的正常访问；</w:t>
      </w:r>
    </w:p>
    <w:p w14:paraId="760143E9">
      <w:r>
        <w:t>7）存储池可以设置的冗余策略至少包括：单副本、2副本、3副本、纠删码等冗余策略，纠删码可以按照2数据1校验的方案部署并实际使用，磁盘空间的利用率≥66%，提供实际界面截图证明；</w:t>
      </w:r>
    </w:p>
    <w:p w14:paraId="0E3C74C8">
      <w:r>
        <w:t>8）为保证云桌面的使用体验，要求三节点集群模式下4KB块大小全随机100%读IOPS&gt;170万。提供具有 CMA或 CNAS认证的第三方权威机构检验报告证明关于性能测试报告证明；</w:t>
      </w:r>
    </w:p>
    <w:p w14:paraId="45A971FB">
      <w:r>
        <w:t>9）为保证硬盘故障后，数据可以快速重构，要求所投产品在分布式存储的方案下，1T数据重构时间≤15分钟，需提供具有 CMA或 CNAS认证的第三方权威机构检验报告证明数据重构的性能测试报告；</w:t>
      </w:r>
    </w:p>
    <w:p w14:paraId="2AC8C239">
      <w:r>
        <w:t>10）要求满足服务器高可靠。 当服务器数量为3台时，支持任意1台服务器故障，可自动恢复并继续提供服务；当服务器数量为7台时，支持任意3台服务器故障，可自动恢复并继续提供服务；</w:t>
      </w:r>
    </w:p>
    <w:p w14:paraId="3BDA8BA3">
      <w:r>
        <w:t>11）支持以下三种类型云桌面：1、关闭云桌面后用户的个性化配置与数据不会丢失；2、每次关闭云桌面后自动还原系统盘到初始状态；3、用户桌面统一升级安装应用软件，但用户的个性数据不受影响。提供产品功能界面截图；</w:t>
      </w:r>
    </w:p>
    <w:p w14:paraId="5C809FD1">
      <w:r>
        <w:t>12）可以根据用户名、云桌面IP、云桌面名称等信息分页查询云桌面信息。提供产品功能界面截图；</w:t>
      </w:r>
    </w:p>
    <w:p w14:paraId="09500B0B">
      <w:r>
        <w:t>13）支持用户桌面个性化数据(包括应用程序配置文件、注册表、系统的修改和配置等用户个性化文件)重向至定个人磁盘中，管理员在统一更新、升级镜像后不会影响个人数据；</w:t>
      </w:r>
    </w:p>
    <w:p w14:paraId="5FCE46E3">
      <w:r>
        <w:t>14）支持通过上传操作系统ISO文件、QCOW2格式文件来制作生成镜像。提供产品功能界面截图；</w:t>
      </w:r>
    </w:p>
    <w:p w14:paraId="6D918687">
      <w:r>
        <w:t>15）支持应用程序安装包和共享文件的管理，包括：上传、删除、查询与制作镜像时加载到虚拟机内部；</w:t>
      </w:r>
    </w:p>
    <w:p w14:paraId="48CE0FBE">
      <w:r>
        <w:t>16）支持对接LDAP、AD域导入用户，支持通过导入Excel文件的方式批量新建用户信息；</w:t>
      </w:r>
    </w:p>
    <w:p w14:paraId="5B328CEA">
      <w:r>
        <w:t>17）支持管理ARM架构/X86架构的VDI终端，支持管理X86架构的胖终端，支持将第三方PC通过intel TCI（透明计算)技术云化，纳入平台统一管理；</w:t>
      </w:r>
    </w:p>
    <w:p w14:paraId="68BEC908">
      <w:r>
        <w:t>18）支持云桌面种类策略配置，包含VDI、IDV、TCI三种类型。提供产品功能界面截图；</w:t>
      </w:r>
    </w:p>
    <w:p w14:paraId="41F38A48">
      <w:r>
        <w:t>19）可配置全局屏幕水印功能。水印显示信息包括：用户名，云桌面名，云桌面IP、云桌面MAC地址，自定义显示。支持透明度，角度，字体大小和颜色的设置；</w:t>
      </w:r>
    </w:p>
    <w:p w14:paraId="6506E9E3">
      <w:r>
        <w:t>20）支持通过推送安装包、应用磁盘的方式，为桌面提供应用管理能力。同时推送安装包、应用磁盘的能力需包含VDI、IDV、TCI三种类型，提供产品功能界面截图；</w:t>
      </w:r>
    </w:p>
    <w:p w14:paraId="2907A240">
      <w:r>
        <w:t>21）支持精细化配置功能权限，功能权限颗粒度细化到页面的具体功能。提供产品功能界面截图；</w:t>
      </w:r>
    </w:p>
    <w:p w14:paraId="476600B3">
      <w:r>
        <w:t>22）提供物理PC桌面管理工具，可安装在PC或虚拟机环境中。管理工具可显示基本硬件信息，支持用户端可以主动报障功能，并高亮显示报障信息。提供产品功能界面截图；</w:t>
      </w:r>
    </w:p>
    <w:p w14:paraId="69DD3CE3">
      <w:r>
        <w:t>23）</w:t>
      </w:r>
      <w:r>
        <w:rPr>
          <w:rFonts w:hint="eastAsia"/>
        </w:rPr>
        <w:t>可纳入现有校内云桌面集群进行统一管理</w:t>
      </w:r>
      <w:r>
        <w:t>；</w:t>
      </w:r>
    </w:p>
    <w:p w14:paraId="19F14E74">
      <w:r>
        <w:t>24）实配要求：配置满足本次项目所需的CPU授权</w:t>
      </w:r>
      <w:r>
        <w:rPr>
          <w:rFonts w:hint="eastAsia"/>
        </w:rPr>
        <w:t>及</w:t>
      </w:r>
      <w:r>
        <w:t xml:space="preserve">VGPU </w:t>
      </w:r>
      <w:r>
        <w:rPr>
          <w:rFonts w:hint="eastAsia"/>
        </w:rPr>
        <w:t>利旧终端（V</w:t>
      </w:r>
      <w:r>
        <w:t>DI</w:t>
      </w:r>
      <w:r>
        <w:rPr>
          <w:rFonts w:hint="eastAsia"/>
        </w:rPr>
        <w:t>）接入授权</w:t>
      </w:r>
      <w:r>
        <w:t>。</w:t>
      </w:r>
    </w:p>
    <w:p w14:paraId="3725BFD0">
      <w:pPr>
        <w:pStyle w:val="18"/>
        <w:ind w:left="567"/>
        <w:rPr>
          <w:rFonts w:asciiTheme="minorEastAsia" w:hAnsiTheme="minorEastAsia" w:eastAsiaTheme="minorEastAsia"/>
        </w:rPr>
      </w:pPr>
      <w:r>
        <w:rPr>
          <w:rFonts w:hint="eastAsia" w:asciiTheme="minorEastAsia" w:hAnsiTheme="minorEastAsia" w:eastAsiaTheme="minorEastAsia"/>
        </w:rPr>
        <w:t>教师机</w:t>
      </w:r>
    </w:p>
    <w:p w14:paraId="36CC6DEC">
      <w:r>
        <w:t>1）为保证云桌面软件系统的兼容效果和稳定运行，所有终端均需采用x86架构，且为国内自主品牌；</w:t>
      </w:r>
    </w:p>
    <w:p w14:paraId="08508FEE">
      <w:r>
        <w:t>2）配置CPU性能不低于Intel第十二代i7</w:t>
      </w:r>
      <w:r>
        <w:rPr>
          <w:rFonts w:hint="eastAsia"/>
        </w:rPr>
        <w:t>十六</w:t>
      </w:r>
      <w:r>
        <w:t>线程处理器（处理器睿频≥4.7GHz）；内存容量≥8GB，显卡性能不低于Intel UHD 770；本地存储≥512 GB SSD；</w:t>
      </w:r>
    </w:p>
    <w:p w14:paraId="013869AA">
      <w:r>
        <w:t>3）为节约桌面空间，终端主体尺寸≤200mm（宽）×200mm（深）×44.4mm（高），提供官网链接和截图证明；</w:t>
      </w:r>
    </w:p>
    <w:p w14:paraId="5FA3D55B">
      <w:r>
        <w:t>4）USB接口数量≥8个（其中USB 3.0接口≥4个，USB 2.0接口≥4个），千兆网口≥1个，VGA接口≥1个，HDMI接口≥1个，音频输入输出接口≥1个，支持4段式耳机音频输入及输出。提供官网链接和截图证明；</w:t>
      </w:r>
    </w:p>
    <w:p w14:paraId="4DD29291">
      <w:r>
        <w:t>5）配置内存槽位≥2个；</w:t>
      </w:r>
    </w:p>
    <w:p w14:paraId="03C8B8F4">
      <w:r>
        <w:t>6）配置M.2 SSD槽位≥2个，2.5英寸硬盘位≥1个，提供产品图片证明；</w:t>
      </w:r>
    </w:p>
    <w:p w14:paraId="75102BE6">
      <w:r>
        <w:t>7）为保障所投设备质量优异、可靠性高，要求所投设备平均故障间隔时间（MTBF）≥30万小时，针对此功能提供第三方测试机构出具的测试报告和证书复印件并加盖厂商公章，其中测试报告需具备CNAS或CMA标识；</w:t>
      </w:r>
    </w:p>
    <w:p w14:paraId="5CF50AE6">
      <w:r>
        <w:t>8）为防止人体触电，要求所投终端产品满足抗电强度要求：（1）电源初级与地之间施加AC2800V产品无击穿现象；（2）电源初级与次级之间施加AC3000V产品无击穿现象；（3）电源初级与机壳之间施加AC3000V产品无击穿现象，针对此功能需提供国家级权威测试机构出具的证书复印件，要求证书具有 CMA或 CNAS认证；</w:t>
      </w:r>
    </w:p>
    <w:p w14:paraId="071D98C5">
      <w:r>
        <w:t>9）在气候干燥的地区，拔插外设或者接触设备接口金属部分容易产生静电现象，为防止静电对设备造成损害，要求所投设备所有的外设接口要满足GB/T 17626.2-2018《电磁兼容 实验和测量技术静电放电抗扰度试验》静电放电抗扰度：接触放电6kV；空气放电15kV，达到性能判据A的要求，针对以上要求需提供第三方权威测试证书的复印件，证书需具备CNAS或CMA标志；</w:t>
      </w:r>
    </w:p>
    <w:p w14:paraId="48ED3098">
      <w:r>
        <w:t>10）实配要求：单台配置虚拟化桌面授权，三年质保。</w:t>
      </w:r>
    </w:p>
    <w:p w14:paraId="76F9F57F">
      <w:pPr>
        <w:pStyle w:val="18"/>
        <w:ind w:left="567"/>
        <w:rPr>
          <w:rFonts w:asciiTheme="minorEastAsia" w:hAnsiTheme="minorEastAsia" w:eastAsiaTheme="minorEastAsia"/>
        </w:rPr>
      </w:pPr>
      <w:r>
        <w:rPr>
          <w:rFonts w:hint="eastAsia" w:asciiTheme="minorEastAsia" w:hAnsiTheme="minorEastAsia" w:eastAsiaTheme="minorEastAsia"/>
        </w:rPr>
        <w:t>教学管理软件</w:t>
      </w:r>
    </w:p>
    <w:p w14:paraId="0A32C2B4">
      <w:r>
        <w:t>1）提供多种教学模式以匹配不同的教学需求，支持老师通过教学管理软件对学生一键切换教学镜像；切换镜像时，云终端硬件无需重新启动；</w:t>
      </w:r>
    </w:p>
    <w:p w14:paraId="5ADCE8EB">
      <w:r>
        <w:t>2）支持通过教学管理软件一键开启所有云终端，终端启动后进入对应的课程镜像桌面。要求提供具有 CMA或 CNAS认证章的第三方权威机构检验报告证明的测试报告证明复印件；</w:t>
      </w:r>
    </w:p>
    <w:p w14:paraId="60C3E197">
      <w:r>
        <w:t>3）为简化教学、方便上课前的学生点名，教学管理软件远程终端编号功能，并与云桌面编号一一对应，提供产品功能截图证明，并要求提供具有 CMA或 CNAS认证章的第三方权威机构检验报告证明的测试报告证明复印件；</w:t>
      </w:r>
    </w:p>
    <w:p w14:paraId="15FC56FD">
      <w:r>
        <w:t>4）支持老师对单一、部分或全体学生进行黑屏操作，黑屏状态下，学生的机器被锁定；</w:t>
      </w:r>
    </w:p>
    <w:p w14:paraId="1F85FF08">
      <w:r>
        <w:t>5）为保证正常教学使用，在教师机可以实现屏幕广播；学生可以调整老师广播屏幕大小；老师可以选择是否广播声音给学生；要求提供具有 CMA或 CNAS认证章的第三方权威机构检验报告证明的测试报告证明复印件；</w:t>
      </w:r>
    </w:p>
    <w:p w14:paraId="04DAF97F">
      <w:r>
        <w:t>6）为方便教学控制，支持通过教学管理软件实现一键禁止任意学生上网，禁网的同时仍需要支持屏幕广播、屏幕查看等正常教学应用；</w:t>
      </w:r>
    </w:p>
    <w:p w14:paraId="68A5848C">
      <w:r>
        <w:t>7）支持老师对学生分组功能；支持根据学生姓名手动分组或随机分组；支持老师和组长对组名重命名功能；支持小组总得分记录、支持各学生组员对小组贡献值记录；支持组内文件互传功能；</w:t>
      </w:r>
    </w:p>
    <w:p w14:paraId="25A8850B">
      <w:r>
        <w:t>8）支持自主注册账号、支持管理员统一账号导入；老师账号仅支持密码登陆个人空间；学生账号支持密码登陆和无密码登陆；提供产品功能截图证明；</w:t>
      </w:r>
    </w:p>
    <w:p w14:paraId="5383FE9E">
      <w:r>
        <w:t>9）支持老师对选中文件的分发和回收；支持老师对文件分发学生范围设置，支持老师根据姓名、小组、班级、年级或全员进行分发；支持考试对单独文件或文件夹形式分发；支持老师设置文件回收截至时间；支持老师设置回收后的文件存储位置；支持学生一键文件提交。要求提供具有 CMA或 CNAS认证章的第三方权威机构检验报告证明的测试报告证明复印件；</w:t>
      </w:r>
    </w:p>
    <w:p w14:paraId="023FB092">
      <w:r>
        <w:t>10）个人空间内置网盘功能，学生可通过作业空间账号直接登录，学生没有做完的作业或文件，可以上传到在作业空间中独立的存储空间中，方便下次上课使用，网盘文件支持上传和下载；</w:t>
      </w:r>
    </w:p>
    <w:p w14:paraId="7FCB296B">
      <w:r>
        <w:t>11）互动游戏：为促进课堂互动效果，提升课堂活跃度，需提供实用课堂互动小游戏；</w:t>
      </w:r>
    </w:p>
    <w:p w14:paraId="6194A6AE">
      <w:r>
        <w:t>12）为简化班级管理维护工作，支持通过标识码邀请方式来创建班级，即老师通过唯一的标识码邀请学生加入，针对此功能需提供产品功能截图证明；</w:t>
      </w:r>
    </w:p>
    <w:p w14:paraId="7B7A3A54">
      <w:r>
        <w:t>13）随堂测试出题可支持单选、多选、判断、填空、问答等多种课堂测试，对于客观题老师可以设置答题卡录入正确答案并赋分，方便快速评分批改；</w:t>
      </w:r>
    </w:p>
    <w:p w14:paraId="2841C65A">
      <w:r>
        <w:t>14）服务器文件授权：为避免U-Key丢失和兼容性以及安全性问题，授权方式必须为文件授权方式，而非U-Key授权的方式；</w:t>
      </w:r>
    </w:p>
    <w:p w14:paraId="07921E34">
      <w:r>
        <w:t>15）学生奖励机制：学生在教学活动中可以获得虚拟积分，支持在学生和老师端查看积分及排名；</w:t>
      </w:r>
    </w:p>
    <w:p w14:paraId="35A8D21E">
      <w:r>
        <w:t>16）教学管理软件必须为自主研发，非OEM 产品，提供中华人民共和国国家版权局颁发的软件著作权登记证证书复印件；</w:t>
      </w:r>
    </w:p>
    <w:p w14:paraId="6A37AE9C">
      <w:r>
        <w:t>17）为防止学生自行使用学生终端，影响教学效率，支持学生终端离线后自动锁屏功能。</w:t>
      </w:r>
    </w:p>
    <w:p w14:paraId="7D3ED584">
      <w:r>
        <w:t>18）要求云</w:t>
      </w:r>
      <w:r>
        <w:rPr>
          <w:rFonts w:hint="eastAsia"/>
        </w:rPr>
        <w:t>桌面服务器</w:t>
      </w:r>
      <w:r>
        <w:t>、</w:t>
      </w:r>
      <w:r>
        <w:rPr>
          <w:rFonts w:hint="eastAsia"/>
        </w:rPr>
        <w:t>云桌面管理平台</w:t>
      </w:r>
      <w:r>
        <w:t>、教师</w:t>
      </w:r>
      <w:r>
        <w:rPr>
          <w:rFonts w:hint="eastAsia"/>
        </w:rPr>
        <w:t>即</w:t>
      </w:r>
      <w:r>
        <w:t>终端、教学管理软件、网络连通设备同一品牌，以保证平台联动时的兼容性和可靠性，且在产品厂商官网有明确的产品说明，提供产品厂商官网查询链接与截图。</w:t>
      </w:r>
    </w:p>
    <w:p w14:paraId="600E5374">
      <w:pPr>
        <w:pStyle w:val="18"/>
        <w:ind w:left="567"/>
        <w:rPr>
          <w:rFonts w:asciiTheme="minorEastAsia" w:hAnsiTheme="minorEastAsia" w:eastAsiaTheme="minorEastAsia"/>
        </w:rPr>
      </w:pPr>
      <w:r>
        <w:rPr>
          <w:rFonts w:hint="eastAsia" w:asciiTheme="minorEastAsia" w:hAnsiTheme="minorEastAsia" w:eastAsiaTheme="minorEastAsia"/>
        </w:rPr>
        <w:t>接入交换机</w:t>
      </w:r>
    </w:p>
    <w:p w14:paraId="40302FBF">
      <w:r>
        <w:t>1）交换容量≥432G，包转发率≥166Mpps（以官网最小值为准，要求提供官网截图）；</w:t>
      </w:r>
    </w:p>
    <w:p w14:paraId="759EB20C">
      <w:r>
        <w:t>2）固化10/100/1000M以太网端口≥48，固化10G/1G SFP+光接口≥4个；</w:t>
      </w:r>
    </w:p>
    <w:p w14:paraId="4928E90E">
      <w:r>
        <w:t>3）支持生成树协议STP(IEEE 802.1d)，RSTP(IEEE 802.1w)和MSTP(IEEE 802.1s)，完全保证快速收敛，提高容错能力，保证网络的稳定运行和链路的负载均衡，合理使用网络通道，提供冗余链路利用率；</w:t>
      </w:r>
    </w:p>
    <w:p w14:paraId="6F897121">
      <w:r>
        <w:t>4）支持IPV4/IPV6静态路由，RIP、RIPng；</w:t>
      </w:r>
    </w:p>
    <w:p w14:paraId="1F3FC3B1">
      <w:r>
        <w:t>5）支持特有的CPU保护策略，对发往CPU的数据流，进行流区分和优先级队列分级处理，并根据需要实施带宽限速，充分保护CPU不被非法流量占用、恶意攻击和资源消耗；</w:t>
      </w:r>
    </w:p>
    <w:p w14:paraId="79800D7F">
      <w:r>
        <w:t>6）支持快速链路检测协议，可快速检测链路的通断和光纤链路的单向性，并支持端口下的环路检测功能，防止端口下因私接Hub等设备形成的环路而导致网络故障的现象；</w:t>
      </w:r>
    </w:p>
    <w:p w14:paraId="01FD1F82">
      <w:r>
        <w:t>7）提供工信部设备进网许可证。</w:t>
      </w:r>
    </w:p>
    <w:p w14:paraId="4CB676D2">
      <w:r>
        <w:rPr>
          <w:rFonts w:hint="eastAsia"/>
        </w:rPr>
        <w:t>8）实配要求：满配项目所需光模块；</w:t>
      </w:r>
    </w:p>
    <w:p w14:paraId="2C2E7059">
      <w:pPr>
        <w:pStyle w:val="18"/>
        <w:ind w:left="567"/>
        <w:rPr>
          <w:rFonts w:asciiTheme="minorEastAsia" w:hAnsiTheme="minorEastAsia" w:eastAsiaTheme="minorEastAsia"/>
        </w:rPr>
      </w:pPr>
      <w:r>
        <w:rPr>
          <w:rFonts w:hint="eastAsia" w:asciiTheme="minorEastAsia" w:hAnsiTheme="minorEastAsia" w:eastAsiaTheme="minorEastAsia"/>
        </w:rPr>
        <w:t>数据中心交换机</w:t>
      </w:r>
    </w:p>
    <w:p w14:paraId="16A8A720">
      <w:r>
        <w:t>1）交换容量≥2.56T，包转发率≥1920Mpps，以官网最小值为准，要求提供官网截图及官网链接证明；</w:t>
      </w:r>
    </w:p>
    <w:p w14:paraId="30552293">
      <w:r>
        <w:t>2）支持并实配10G接口数≥48个，100G/40G接口数≥8个，支持可拔插双模块化电源，可拔插四模块化风扇，要求提供官网截图及官网链接证明；</w:t>
      </w:r>
    </w:p>
    <w:p w14:paraId="2C509C10">
      <w:r>
        <w:t>3）支持硬件健康状态可视化，可以对风扇状态、电源、温度、板载电压进行监控，尤其是在日常巡查中发现电压异常前兆，可及时处理，避免出现电压异常宕机，投标时提供第三方权威机构检验报告证明；</w:t>
      </w:r>
    </w:p>
    <w:p w14:paraId="0786E92D">
      <w:r>
        <w:t>4）支持硬件层级双boot，采用两个FLASH芯片存储boot软件（系统引导程序），实现硬件级boot冗余备份，避免因FLASH芯片故障导致交换机无法启动。投标时提供第三方权威机构检验报告证明；</w:t>
      </w:r>
    </w:p>
    <w:p w14:paraId="436F456F">
      <w:r>
        <w:t>5）设备支持上行端口故障隔离技术，用于监测光模块状态，一旦出现故障，可马上识别、并将故障模块隔离，确保不影响其它端口和整机的正常运行，更换模块后该端口也可马上恢复正常工作，投标时提供第三方权威机构检验报告证明；</w:t>
      </w:r>
    </w:p>
    <w:p w14:paraId="16E26BCC">
      <w:r>
        <w:t>6）支持RIP，OSPF，BGP，RIPng，OSPFv3，BGP4+；</w:t>
      </w:r>
    </w:p>
    <w:p w14:paraId="60374586">
      <w:r>
        <w:t>7）支持多虚一技术，可将多台物理设备虚拟化为一台逻辑设备统一管理，VSL故障恢复时间＜30ms；</w:t>
      </w:r>
    </w:p>
    <w:p w14:paraId="305D474E">
      <w:r>
        <w:t>8）支持 Telemetry 技术，实现对CPU、内存等信息的周期性采集；</w:t>
      </w:r>
    </w:p>
    <w:p w14:paraId="487D2166">
      <w:r>
        <w:t>9）支持专门基础网络保护机制，能够限制用户向网络中发送数据包的速率，对有攻击行为的用户进行隔离，保证设备和整网的安全稳定运行；</w:t>
      </w:r>
    </w:p>
    <w:p w14:paraId="0C4D4C42">
      <w:r>
        <w:t>10）设备关键芯片如CPU满足国产化要求，推动自主可控，提供产品测试报告；</w:t>
      </w:r>
    </w:p>
    <w:p w14:paraId="0A86E4D4">
      <w:r>
        <w:t>11）实配要求：单台配置双电源冗余，</w:t>
      </w:r>
      <w:r>
        <w:rPr>
          <w:rFonts w:hint="eastAsia"/>
        </w:rPr>
        <w:t>满配本次项目所需光模块，</w:t>
      </w:r>
      <w:r>
        <w:t>三年质保。</w:t>
      </w:r>
    </w:p>
    <w:p w14:paraId="08EF6AAF">
      <w:pPr>
        <w:rPr>
          <w:rFonts w:asciiTheme="minorEastAsia" w:hAnsiTheme="minorEastAsia" w:eastAsiaTheme="minorEastAsia"/>
          <w:szCs w:val="24"/>
        </w:rPr>
      </w:pPr>
      <w:bookmarkStart w:id="42" w:name="_GoBack"/>
      <w:bookmarkEnd w:id="42"/>
    </w:p>
    <w:sectPr>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3B5C7DB4"/>
    <w:multiLevelType w:val="multilevel"/>
    <w:tmpl w:val="3B5C7DB4"/>
    <w:lvl w:ilvl="0" w:tentative="0">
      <w:start w:val="1"/>
      <w:numFmt w:val="decimal"/>
      <w:pStyle w:val="13"/>
      <w:lvlText w:val="%1."/>
      <w:lvlJc w:val="left"/>
      <w:pPr>
        <w:ind w:left="0" w:hanging="420"/>
      </w:pPr>
      <w:rPr>
        <w:rFonts w:hint="eastAsia"/>
      </w:rPr>
    </w:lvl>
    <w:lvl w:ilvl="1" w:tentative="0">
      <w:start w:val="1"/>
      <w:numFmt w:val="decimal"/>
      <w:lvlText w:val="%2)"/>
      <w:lvlJc w:val="left"/>
      <w:pPr>
        <w:ind w:left="1215" w:hanging="79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857FDD"/>
    <w:multiLevelType w:val="multilevel"/>
    <w:tmpl w:val="40857FDD"/>
    <w:lvl w:ilvl="0" w:tentative="0">
      <w:start w:val="1"/>
      <w:numFmt w:val="decimal"/>
      <w:lvlText w:val="%1."/>
      <w:lvlJc w:val="left"/>
      <w:pPr>
        <w:ind w:left="960" w:hanging="48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40838A7"/>
    <w:multiLevelType w:val="multilevel"/>
    <w:tmpl w:val="440838A7"/>
    <w:lvl w:ilvl="0" w:tentative="0">
      <w:start w:val="1"/>
      <w:numFmt w:val="decimal"/>
      <w:lvlText w:val="%1"/>
      <w:lvlJc w:val="left"/>
      <w:pPr>
        <w:ind w:left="425" w:hanging="425"/>
      </w:pPr>
      <w:rPr>
        <w:rFonts w:hint="eastAsia"/>
      </w:rPr>
    </w:lvl>
    <w:lvl w:ilvl="1" w:tentative="0">
      <w:start w:val="1"/>
      <w:numFmt w:val="decimal"/>
      <w:pStyle w:val="14"/>
      <w:lvlText w:val="%1.%2"/>
      <w:lvlJc w:val="left"/>
      <w:pPr>
        <w:ind w:left="8930" w:hanging="567"/>
      </w:pPr>
      <w:rPr>
        <w:rFonts w:hint="eastAsia"/>
      </w:rPr>
    </w:lvl>
    <w:lvl w:ilvl="2" w:tentative="0">
      <w:start w:val="1"/>
      <w:numFmt w:val="decimal"/>
      <w:pStyle w:val="18"/>
      <w:lvlText w:val="%1.%2.%3"/>
      <w:lvlJc w:val="left"/>
      <w:pPr>
        <w:ind w:left="3261" w:hanging="567"/>
      </w:pPr>
      <w:rPr>
        <w:rFonts w:hint="eastAsia"/>
      </w:rPr>
    </w:lvl>
    <w:lvl w:ilvl="3" w:tentative="0">
      <w:start w:val="1"/>
      <w:numFmt w:val="decimal"/>
      <w:pStyle w:val="20"/>
      <w:lvlText w:val="%1.%2.%3.%4"/>
      <w:lvlJc w:val="left"/>
      <w:pPr>
        <w:ind w:left="708" w:hanging="708"/>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21"/>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675290D"/>
    <w:multiLevelType w:val="multilevel"/>
    <w:tmpl w:val="4675290D"/>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5">
    <w:nsid w:val="4A6A19F1"/>
    <w:multiLevelType w:val="multilevel"/>
    <w:tmpl w:val="4A6A19F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9B"/>
    <w:rsid w:val="00044EDF"/>
    <w:rsid w:val="000E638A"/>
    <w:rsid w:val="000F7F98"/>
    <w:rsid w:val="0011620B"/>
    <w:rsid w:val="0019453C"/>
    <w:rsid w:val="001B159A"/>
    <w:rsid w:val="001E4ED7"/>
    <w:rsid w:val="00252A70"/>
    <w:rsid w:val="002E243B"/>
    <w:rsid w:val="00365E08"/>
    <w:rsid w:val="003A2126"/>
    <w:rsid w:val="003B6D96"/>
    <w:rsid w:val="003D0E5F"/>
    <w:rsid w:val="00465E0A"/>
    <w:rsid w:val="004C1C48"/>
    <w:rsid w:val="004E1DB0"/>
    <w:rsid w:val="00523177"/>
    <w:rsid w:val="00543998"/>
    <w:rsid w:val="005854B1"/>
    <w:rsid w:val="005F5AE5"/>
    <w:rsid w:val="006B763C"/>
    <w:rsid w:val="006C2B55"/>
    <w:rsid w:val="006D5585"/>
    <w:rsid w:val="006F7274"/>
    <w:rsid w:val="007C7D3C"/>
    <w:rsid w:val="007E6DBF"/>
    <w:rsid w:val="00812315"/>
    <w:rsid w:val="0082160E"/>
    <w:rsid w:val="00836F0F"/>
    <w:rsid w:val="00971E41"/>
    <w:rsid w:val="00982047"/>
    <w:rsid w:val="009C4691"/>
    <w:rsid w:val="00A33CAD"/>
    <w:rsid w:val="00A44EF3"/>
    <w:rsid w:val="00AF168F"/>
    <w:rsid w:val="00B4630A"/>
    <w:rsid w:val="00B62E9B"/>
    <w:rsid w:val="00BC4BFA"/>
    <w:rsid w:val="00C24750"/>
    <w:rsid w:val="00C5743C"/>
    <w:rsid w:val="00CE105B"/>
    <w:rsid w:val="00D16363"/>
    <w:rsid w:val="00D246BB"/>
    <w:rsid w:val="00D72EE4"/>
    <w:rsid w:val="00E01F54"/>
    <w:rsid w:val="00EA5EC0"/>
    <w:rsid w:val="00F361D7"/>
    <w:rsid w:val="00F9441D"/>
    <w:rsid w:val="00FA5A1D"/>
    <w:rsid w:val="08E92ED7"/>
    <w:rsid w:val="0B5F2848"/>
    <w:rsid w:val="0BC56AC5"/>
    <w:rsid w:val="0ED939EE"/>
    <w:rsid w:val="1FB262C1"/>
    <w:rsid w:val="230A1F70"/>
    <w:rsid w:val="2CBA5C99"/>
    <w:rsid w:val="2FDC679B"/>
    <w:rsid w:val="36631C6B"/>
    <w:rsid w:val="398D455D"/>
    <w:rsid w:val="3F06588A"/>
    <w:rsid w:val="457C68A6"/>
    <w:rsid w:val="4A542F03"/>
    <w:rsid w:val="565F5B54"/>
    <w:rsid w:val="63A95B41"/>
    <w:rsid w:val="69216C99"/>
    <w:rsid w:val="6E0F7A08"/>
    <w:rsid w:val="6F6F69B0"/>
    <w:rsid w:val="718555CA"/>
    <w:rsid w:val="74BA1515"/>
    <w:rsid w:val="7DFB58B2"/>
    <w:rsid w:val="7F2F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仿宋" w:cs="Times New Roman"/>
      <w:kern w:val="2"/>
      <w:sz w:val="24"/>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link w:val="15"/>
    <w:qFormat/>
    <w:uiPriority w:val="34"/>
    <w:pPr>
      <w:ind w:firstLine="420"/>
    </w:pPr>
  </w:style>
  <w:style w:type="paragraph" w:customStyle="1" w:styleId="13">
    <w:name w:val="1"/>
    <w:basedOn w:val="12"/>
    <w:link w:val="16"/>
    <w:qFormat/>
    <w:uiPriority w:val="0"/>
    <w:pPr>
      <w:numPr>
        <w:ilvl w:val="0"/>
        <w:numId w:val="1"/>
      </w:numPr>
      <w:ind w:firstLine="0"/>
      <w:outlineLvl w:val="0"/>
    </w:pPr>
    <w:rPr>
      <w:rFonts w:asciiTheme="minorEastAsia" w:hAnsiTheme="minorEastAsia"/>
      <w:b/>
      <w:sz w:val="32"/>
      <w:szCs w:val="32"/>
      <w:shd w:val="clear" w:color="auto" w:fill="FFFFFF"/>
    </w:rPr>
  </w:style>
  <w:style w:type="paragraph" w:customStyle="1" w:styleId="14">
    <w:name w:val="1.1"/>
    <w:basedOn w:val="3"/>
    <w:next w:val="2"/>
    <w:link w:val="17"/>
    <w:autoRedefine/>
    <w:qFormat/>
    <w:uiPriority w:val="0"/>
    <w:pPr>
      <w:keepNext w:val="0"/>
      <w:keepLines w:val="0"/>
      <w:numPr>
        <w:ilvl w:val="1"/>
        <w:numId w:val="2"/>
      </w:numPr>
      <w:spacing w:before="0" w:after="0" w:line="480" w:lineRule="auto"/>
    </w:pPr>
    <w:rPr>
      <w:rFonts w:ascii="新宋体" w:hAnsi="新宋体" w:eastAsia="新宋体" w:cs="Times New Roman"/>
      <w:sz w:val="24"/>
      <w:shd w:val="clear" w:color="auto" w:fill="FFFFFF"/>
    </w:rPr>
  </w:style>
  <w:style w:type="character" w:customStyle="1" w:styleId="15">
    <w:name w:val="列出段落 字符"/>
    <w:basedOn w:val="9"/>
    <w:link w:val="12"/>
    <w:qFormat/>
    <w:uiPriority w:val="34"/>
    <w:rPr>
      <w:rFonts w:ascii="Calibri" w:hAnsi="Calibri" w:eastAsia="仿宋" w:cs="Times New Roman"/>
      <w:sz w:val="24"/>
    </w:rPr>
  </w:style>
  <w:style w:type="character" w:customStyle="1" w:styleId="16">
    <w:name w:val="1 Char"/>
    <w:basedOn w:val="15"/>
    <w:link w:val="13"/>
    <w:qFormat/>
    <w:uiPriority w:val="0"/>
    <w:rPr>
      <w:rFonts w:eastAsia="仿宋" w:cs="Times New Roman" w:asciiTheme="minorEastAsia" w:hAnsiTheme="minorEastAsia"/>
      <w:b/>
      <w:sz w:val="32"/>
      <w:szCs w:val="32"/>
    </w:rPr>
  </w:style>
  <w:style w:type="character" w:customStyle="1" w:styleId="17">
    <w:name w:val="1.1 Char"/>
    <w:basedOn w:val="16"/>
    <w:link w:val="14"/>
    <w:qFormat/>
    <w:uiPriority w:val="0"/>
    <w:rPr>
      <w:rFonts w:ascii="新宋体" w:hAnsi="新宋体" w:eastAsia="新宋体" w:cs="Times New Roman"/>
      <w:bCs/>
      <w:sz w:val="24"/>
      <w:szCs w:val="32"/>
    </w:rPr>
  </w:style>
  <w:style w:type="paragraph" w:customStyle="1" w:styleId="18">
    <w:name w:val="样式1"/>
    <w:basedOn w:val="13"/>
    <w:link w:val="19"/>
    <w:qFormat/>
    <w:uiPriority w:val="0"/>
    <w:pPr>
      <w:numPr>
        <w:ilvl w:val="2"/>
        <w:numId w:val="2"/>
      </w:numPr>
      <w:outlineLvl w:val="2"/>
    </w:pPr>
    <w:rPr>
      <w:rFonts w:ascii="仿宋" w:hAnsi="仿宋"/>
      <w:sz w:val="24"/>
      <w:szCs w:val="24"/>
    </w:rPr>
  </w:style>
  <w:style w:type="character" w:customStyle="1" w:styleId="19">
    <w:name w:val="样式1 Char"/>
    <w:basedOn w:val="16"/>
    <w:link w:val="18"/>
    <w:qFormat/>
    <w:uiPriority w:val="0"/>
    <w:rPr>
      <w:rFonts w:ascii="仿宋" w:hAnsi="仿宋" w:eastAsia="仿宋" w:cs="Times New Roman"/>
      <w:sz w:val="24"/>
      <w:szCs w:val="24"/>
    </w:rPr>
  </w:style>
  <w:style w:type="paragraph" w:customStyle="1" w:styleId="20">
    <w:name w:val="1.1.1.1"/>
    <w:basedOn w:val="4"/>
    <w:link w:val="26"/>
    <w:qFormat/>
    <w:uiPriority w:val="0"/>
    <w:pPr>
      <w:numPr>
        <w:ilvl w:val="3"/>
        <w:numId w:val="2"/>
      </w:numPr>
      <w:spacing w:before="0" w:after="0" w:line="240" w:lineRule="auto"/>
      <w:ind w:firstLine="0"/>
      <w:contextualSpacing/>
    </w:pPr>
    <w:rPr>
      <w:rFonts w:eastAsia="微软雅黑"/>
      <w:bCs w:val="0"/>
      <w:sz w:val="24"/>
    </w:rPr>
  </w:style>
  <w:style w:type="paragraph" w:customStyle="1" w:styleId="21">
    <w:name w:val="1.1.1.1.1"/>
    <w:basedOn w:val="20"/>
    <w:qFormat/>
    <w:uiPriority w:val="0"/>
    <w:pPr>
      <w:numPr>
        <w:ilvl w:val="4"/>
      </w:numPr>
      <w:spacing w:line="480" w:lineRule="auto"/>
      <w:outlineLvl w:val="4"/>
    </w:pPr>
    <w:rPr>
      <w:rFonts w:ascii="仿宋" w:hAnsi="仿宋"/>
    </w:rPr>
  </w:style>
  <w:style w:type="table" w:customStyle="1" w:styleId="22">
    <w:name w:val="网格型2"/>
    <w:basedOn w:val="7"/>
    <w:qFormat/>
    <w:uiPriority w:val="59"/>
    <w:pPr>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2 字符"/>
    <w:basedOn w:val="9"/>
    <w:link w:val="3"/>
    <w:semiHidden/>
    <w:qFormat/>
    <w:uiPriority w:val="9"/>
    <w:rPr>
      <w:rFonts w:asciiTheme="majorHAnsi" w:hAnsiTheme="majorHAnsi" w:eastAsiaTheme="majorEastAsia" w:cstheme="majorBidi"/>
      <w:b/>
      <w:bCs/>
      <w:sz w:val="32"/>
      <w:szCs w:val="32"/>
    </w:rPr>
  </w:style>
  <w:style w:type="character" w:customStyle="1" w:styleId="24">
    <w:name w:val="标题 1 字符"/>
    <w:basedOn w:val="9"/>
    <w:link w:val="2"/>
    <w:qFormat/>
    <w:uiPriority w:val="9"/>
    <w:rPr>
      <w:rFonts w:ascii="Calibri" w:hAnsi="Calibri" w:eastAsia="仿宋" w:cs="Times New Roman"/>
      <w:b/>
      <w:bCs/>
      <w:kern w:val="44"/>
      <w:sz w:val="44"/>
      <w:szCs w:val="44"/>
    </w:rPr>
  </w:style>
  <w:style w:type="character" w:customStyle="1" w:styleId="25">
    <w:name w:val="标题 4 字符"/>
    <w:basedOn w:val="9"/>
    <w:link w:val="4"/>
    <w:semiHidden/>
    <w:qFormat/>
    <w:uiPriority w:val="9"/>
    <w:rPr>
      <w:rFonts w:asciiTheme="majorHAnsi" w:hAnsiTheme="majorHAnsi" w:eastAsiaTheme="majorEastAsia" w:cstheme="majorBidi"/>
      <w:b/>
      <w:bCs/>
      <w:sz w:val="28"/>
      <w:szCs w:val="28"/>
    </w:rPr>
  </w:style>
  <w:style w:type="character" w:customStyle="1" w:styleId="26">
    <w:name w:val="1.1.1.1 Char"/>
    <w:basedOn w:val="19"/>
    <w:link w:val="20"/>
    <w:qFormat/>
    <w:uiPriority w:val="0"/>
    <w:rPr>
      <w:rFonts w:eastAsia="微软雅黑" w:asciiTheme="majorHAnsi" w:hAnsiTheme="majorHAnsi" w:cstheme="majorBidi"/>
      <w:sz w:val="24"/>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826C9-F9E7-4F0C-93E0-BEB65D5310D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8353</Words>
  <Characters>9325</Characters>
  <Lines>74</Lines>
  <Paragraphs>20</Paragraphs>
  <TotalTime>4</TotalTime>
  <ScaleCrop>false</ScaleCrop>
  <LinksUpToDate>false</LinksUpToDate>
  <CharactersWithSpaces>9375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2025-01-14T03:04:00Z</dcterms:created>
  <dc:creator>yulinsen</dc:creator>
  <cp:lastModifiedBy>abcdefg</cp:lastModifiedBy>
  <cp:lastPrinted>2025-01-22T06:45:00Z</cp:lastPrinted>
  <dcterms:modified xsi:type="dcterms:W3CDTF">2025-01-22T08:53:34Z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eyJoZGlkIjoiNGVjZGFhNjhiM2Y1MDcxMzJjZmQxYzFlOWQ5ZDUyY2QiLCJ1c2VySWQiOiI1Nzk3NjQyNTEifQ==</vt:lpwstr>
  </property>
  <property fmtid="{D5CDD505-2E9C-101B-9397-08002B2CF9AE}" pid="3" name="KSOProductBuildVer">
    <vt:lpwstr>2052-12.1.0.19770</vt:lpwstr>
  </property>
  <property fmtid="{D5CDD505-2E9C-101B-9397-08002B2CF9AE}" pid="4" name="ICV">
    <vt:lpwstr>F67C273164414636AC50134A4D4FCBE7_13</vt:lpwstr>
  </property>
</Properties>
</file>