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left"/>
        <w:rPr>
          <w:rFonts w:hAnsi="宋体"/>
          <w:b/>
          <w:bCs/>
          <w:sz w:val="72"/>
          <w:szCs w:val="72"/>
        </w:rPr>
      </w:pPr>
    </w:p>
    <w:p>
      <w:pPr>
        <w:spacing w:line="1000" w:lineRule="exact"/>
        <w:jc w:val="left"/>
        <w:rPr>
          <w:rFonts w:hAnsi="宋体"/>
          <w:b/>
          <w:bCs/>
          <w:sz w:val="72"/>
          <w:szCs w:val="72"/>
        </w:rPr>
      </w:pPr>
    </w:p>
    <w:p>
      <w:pPr>
        <w:spacing w:line="1000" w:lineRule="exact"/>
        <w:jc w:val="left"/>
        <w:rPr>
          <w:rFonts w:hAnsi="宋体"/>
          <w:b/>
          <w:bCs/>
          <w:sz w:val="72"/>
          <w:szCs w:val="72"/>
        </w:rPr>
      </w:pPr>
    </w:p>
    <w:p>
      <w:pPr>
        <w:spacing w:line="1000" w:lineRule="exact"/>
        <w:jc w:val="center"/>
        <w:rPr>
          <w:rFonts w:hAnsi="宋体"/>
          <w:b/>
          <w:bCs/>
          <w:sz w:val="72"/>
          <w:szCs w:val="72"/>
        </w:rPr>
      </w:pPr>
    </w:p>
    <w:p>
      <w:pPr>
        <w:jc w:val="center"/>
        <w:rPr>
          <w:rFonts w:hint="default" w:hAnsi="宋体"/>
          <w:b/>
          <w:bCs/>
          <w:sz w:val="52"/>
          <w:szCs w:val="52"/>
          <w:lang w:val="en-US"/>
        </w:rPr>
      </w:pPr>
      <w:r>
        <w:rPr>
          <w:rFonts w:hint="eastAsia" w:hAnsi="宋体"/>
          <w:b/>
          <w:bCs/>
          <w:sz w:val="52"/>
          <w:szCs w:val="52"/>
        </w:rPr>
        <w:t>南通理工</w:t>
      </w:r>
      <w:r>
        <w:rPr>
          <w:rFonts w:hint="eastAsia" w:hAnsi="宋体"/>
          <w:b/>
          <w:bCs/>
          <w:sz w:val="52"/>
          <w:szCs w:val="52"/>
          <w:lang w:val="en-US" w:eastAsia="zh-CN"/>
        </w:rPr>
        <w:t>学院海安校区学生活动中心大礼堂电子屏设计方案</w:t>
      </w:r>
    </w:p>
    <w:p/>
    <w:p/>
    <w:p/>
    <w:p/>
    <w:p/>
    <w:p/>
    <w:p/>
    <w:p/>
    <w:p/>
    <w:p/>
    <w:p/>
    <w:p>
      <w:pPr>
        <w:tabs>
          <w:tab w:val="left" w:pos="1770"/>
        </w:tabs>
        <w:rPr>
          <w:rFonts w:hAnsi="宋体"/>
          <w:b/>
          <w:bCs/>
          <w:kern w:val="44"/>
          <w:sz w:val="44"/>
          <w:szCs w:val="44"/>
        </w:rPr>
      </w:pPr>
      <w:r>
        <w:rPr>
          <w:rFonts w:hAnsi="宋体"/>
          <w:b/>
          <w:bCs/>
          <w:kern w:val="44"/>
          <w:sz w:val="44"/>
          <w:szCs w:val="44"/>
        </w:rPr>
        <w:tab/>
      </w:r>
    </w:p>
    <w:p>
      <w:pPr>
        <w:rPr>
          <w:rFonts w:hAnsi="宋体"/>
          <w:b/>
          <w:bCs/>
          <w:kern w:val="44"/>
          <w:sz w:val="44"/>
          <w:szCs w:val="44"/>
        </w:rPr>
      </w:pPr>
      <w:r>
        <w:rPr>
          <w:rFonts w:hAnsi="宋体"/>
        </w:rPr>
        <mc:AlternateContent>
          <mc:Choice Requires="wps">
            <w:drawing>
              <wp:anchor distT="45720" distB="45720" distL="114300" distR="114300" simplePos="0" relativeHeight="251659264" behindDoc="0" locked="0" layoutInCell="1" allowOverlap="1">
                <wp:simplePos x="0" y="0"/>
                <wp:positionH relativeFrom="margin">
                  <wp:posOffset>1198245</wp:posOffset>
                </wp:positionH>
                <wp:positionV relativeFrom="paragraph">
                  <wp:posOffset>13970</wp:posOffset>
                </wp:positionV>
                <wp:extent cx="2858135" cy="662940"/>
                <wp:effectExtent l="0" t="0" r="0" b="0"/>
                <wp:wrapSquare wrapText="bothSides"/>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58135" cy="662940"/>
                        </a:xfrm>
                        <a:prstGeom prst="rect">
                          <a:avLst/>
                        </a:prstGeom>
                        <a:noFill/>
                        <a:ln w="9525">
                          <a:noFill/>
                          <a:miter lim="800000"/>
                        </a:ln>
                      </wps:spPr>
                      <wps:txbx>
                        <w:txbxContent>
                          <w:p>
                            <w:pPr>
                              <w:spacing w:line="1000" w:lineRule="exact"/>
                              <w:ind w:firstLine="1121" w:firstLineChars="400"/>
                              <w:jc w:val="left"/>
                              <w:rPr>
                                <w:rFonts w:ascii="思源黑体 CN Regular" w:hAnsi="思源黑体 CN Regular" w:eastAsia="思源黑体 CN Regular"/>
                                <w:b/>
                                <w:bCs/>
                                <w:sz w:val="28"/>
                                <w:szCs w:val="28"/>
                              </w:rPr>
                            </w:pPr>
                            <w:r>
                              <w:rPr>
                                <w:rFonts w:hint="eastAsia" w:ascii="思源黑体 CN Regular" w:hAnsi="思源黑体 CN Regular" w:eastAsia="思源黑体 CN Regular"/>
                                <w:b/>
                                <w:bCs/>
                                <w:sz w:val="28"/>
                                <w:szCs w:val="28"/>
                                <w:lang w:val="en-US" w:eastAsia="zh-CN"/>
                              </w:rPr>
                              <w:t>2023年</w:t>
                            </w:r>
                            <w:r>
                              <w:rPr>
                                <w:rFonts w:hint="eastAsia" w:ascii="思源黑体 CN Regular" w:hAnsi="思源黑体 CN Regular" w:eastAsia="思源黑体 CN Regular"/>
                                <w:b/>
                                <w:bCs/>
                                <w:sz w:val="28"/>
                                <w:szCs w:val="28"/>
                              </w:rPr>
                              <w:t xml:space="preserve"> </w:t>
                            </w:r>
                            <w:r>
                              <w:rPr>
                                <w:rFonts w:hint="eastAsia" w:ascii="思源黑体 CN Regular" w:hAnsi="思源黑体 CN Regular" w:eastAsia="思源黑体 CN Regular"/>
                                <w:b/>
                                <w:bCs/>
                                <w:sz w:val="28"/>
                                <w:szCs w:val="28"/>
                                <w:lang w:val="en-US" w:eastAsia="zh-CN"/>
                              </w:rPr>
                              <w:t>9</w:t>
                            </w:r>
                            <w:r>
                              <w:rPr>
                                <w:rFonts w:hint="eastAsia" w:ascii="思源黑体 CN Regular" w:hAnsi="思源黑体 CN Regular" w:eastAsia="思源黑体 CN Regular"/>
                                <w:b/>
                                <w:bCs/>
                                <w:sz w:val="28"/>
                                <w:szCs w:val="28"/>
                              </w:rPr>
                              <w:t>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94.35pt;margin-top:1.1pt;height:52.2pt;width:225.05pt;mso-position-horizontal-relative:margin;mso-wrap-distance-bottom:3.6pt;mso-wrap-distance-left:9pt;mso-wrap-distance-right:9pt;mso-wrap-distance-top:3.6pt;z-index:251659264;mso-width-relative:page;mso-height-relative:page;" filled="f" stroked="f" coordsize="21600,21600" o:gfxdata="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uEIU/U&#10;AAAACQEAAA8AAAAAAAAAAQAgAAAAIgAAAGRycy9kb3ducmV2LnhtbFBLAQIUABQAAAAIAIdO4kDf&#10;LTkMJAIAACkEAAAOAAAAAAAAAAEAIAAAACMBAABkcnMvZTJvRG9jLnhtbFBLBQYAAAAABgAGAFkB&#10;AAC5BQAAAAA=&#10;">
                <v:fill on="f" focussize="0,0"/>
                <v:stroke on="f" miterlimit="8" joinstyle="miter"/>
                <v:imagedata o:title=""/>
                <o:lock v:ext="edit" aspectratio="f"/>
                <v:textbox>
                  <w:txbxContent>
                    <w:p>
                      <w:pPr>
                        <w:spacing w:line="1000" w:lineRule="exact"/>
                        <w:ind w:firstLine="1121" w:firstLineChars="400"/>
                        <w:jc w:val="left"/>
                        <w:rPr>
                          <w:rFonts w:ascii="思源黑体 CN Regular" w:hAnsi="思源黑体 CN Regular" w:eastAsia="思源黑体 CN Regular"/>
                          <w:b/>
                          <w:bCs/>
                          <w:sz w:val="28"/>
                          <w:szCs w:val="28"/>
                        </w:rPr>
                      </w:pPr>
                      <w:r>
                        <w:rPr>
                          <w:rFonts w:hint="eastAsia" w:ascii="思源黑体 CN Regular" w:hAnsi="思源黑体 CN Regular" w:eastAsia="思源黑体 CN Regular"/>
                          <w:b/>
                          <w:bCs/>
                          <w:sz w:val="28"/>
                          <w:szCs w:val="28"/>
                          <w:lang w:val="en-US" w:eastAsia="zh-CN"/>
                        </w:rPr>
                        <w:t>2023年</w:t>
                      </w:r>
                      <w:r>
                        <w:rPr>
                          <w:rFonts w:hint="eastAsia" w:ascii="思源黑体 CN Regular" w:hAnsi="思源黑体 CN Regular" w:eastAsia="思源黑体 CN Regular"/>
                          <w:b/>
                          <w:bCs/>
                          <w:sz w:val="28"/>
                          <w:szCs w:val="28"/>
                        </w:rPr>
                        <w:t xml:space="preserve"> </w:t>
                      </w:r>
                      <w:r>
                        <w:rPr>
                          <w:rFonts w:hint="eastAsia" w:ascii="思源黑体 CN Regular" w:hAnsi="思源黑体 CN Regular" w:eastAsia="思源黑体 CN Regular"/>
                          <w:b/>
                          <w:bCs/>
                          <w:sz w:val="28"/>
                          <w:szCs w:val="28"/>
                          <w:lang w:val="en-US" w:eastAsia="zh-CN"/>
                        </w:rPr>
                        <w:t>9</w:t>
                      </w:r>
                      <w:r>
                        <w:rPr>
                          <w:rFonts w:hint="eastAsia" w:ascii="思源黑体 CN Regular" w:hAnsi="思源黑体 CN Regular" w:eastAsia="思源黑体 CN Regular"/>
                          <w:b/>
                          <w:bCs/>
                          <w:sz w:val="28"/>
                          <w:szCs w:val="28"/>
                        </w:rPr>
                        <w:t>月</w:t>
                      </w:r>
                    </w:p>
                  </w:txbxContent>
                </v:textbox>
                <w10:wrap type="square"/>
              </v:shape>
            </w:pict>
          </mc:Fallback>
        </mc:AlternateContent>
      </w:r>
    </w:p>
    <w:p>
      <w:pPr>
        <w:pageBreakBefore/>
      </w:pPr>
    </w:p>
    <w:p>
      <w:pPr>
        <w:pStyle w:val="3"/>
        <w:numPr>
          <w:ilvl w:val="0"/>
          <w:numId w:val="2"/>
        </w:numPr>
        <w:ind w:firstLine="400"/>
      </w:pPr>
      <w:r>
        <w:rPr>
          <w:rFonts w:hint="eastAsia"/>
        </w:rPr>
        <w:t>系统概述</w:t>
      </w:r>
    </w:p>
    <w:p>
      <w:pPr>
        <w:pStyle w:val="4"/>
        <w:numPr>
          <w:ilvl w:val="2"/>
          <w:numId w:val="3"/>
        </w:numPr>
      </w:pPr>
      <w:r>
        <w:rPr>
          <w:rFonts w:hint="eastAsia"/>
        </w:rPr>
        <w:t>概述</w:t>
      </w:r>
    </w:p>
    <w:p>
      <w:pPr>
        <w:ind w:firstLine="480" w:firstLineChars="200"/>
        <w:rPr>
          <w:rFonts w:hAnsi="宋体" w:cs="Times New Roman"/>
          <w:szCs w:val="24"/>
        </w:rPr>
      </w:pPr>
      <w:r>
        <w:rPr>
          <w:rFonts w:hint="eastAsia" w:hAnsi="宋体" w:cs="Times New Roman"/>
          <w:szCs w:val="24"/>
        </w:rPr>
        <w:t>本项目所涉及的解决方案由高清晰度数字显示技术、多屏图像处理技术、信号切换技术、网络技术等应用综合为一体，形成一个拥有高灰度、高清晰度、高智能化控制、操作方法先进的LED大屏幕显示系统。</w:t>
      </w:r>
    </w:p>
    <w:p>
      <w:pPr>
        <w:ind w:firstLine="480" w:firstLineChars="200"/>
        <w:rPr>
          <w:rFonts w:hAnsi="宋体" w:cs="Times New Roman"/>
          <w:szCs w:val="24"/>
        </w:rPr>
      </w:pPr>
      <w:r>
        <w:rPr>
          <w:rFonts w:hint="eastAsia" w:hAnsi="宋体" w:cs="Times New Roman"/>
          <w:szCs w:val="24"/>
        </w:rPr>
        <w:t>通过LED大屏幕显示系统可以实现对整个系统所需要显示的各种情况进行动态监管，可随时对各种采集到的视频信号、网络信号及各种计算机图形信息进行多画面显示和分析，能够直观、完整、准确、清晰、灵活的显示任意有关来自各方面信息，实现高分辨率高质量的显示与传输标准，并且应用全新技术实现寿命长、状态稳定、维护成本低等优势，切换信号时无黑屏。</w:t>
      </w:r>
    </w:p>
    <w:p>
      <w:pPr>
        <w:ind w:firstLine="480" w:firstLineChars="200"/>
        <w:rPr>
          <w:rFonts w:hAnsi="宋体" w:cs="Times New Roman"/>
          <w:szCs w:val="24"/>
        </w:rPr>
      </w:pPr>
      <w:r>
        <w:rPr>
          <w:rFonts w:hAnsi="宋体" w:cs="Times New Roman"/>
          <w:szCs w:val="24"/>
        </w:rPr>
        <w:t>根据本项目实际应用需求，配置具有先进技术的大屏幕显示和配套控制系统，采用我司的2.5点间距产品作为显示系统的主显示设备。</w:t>
      </w:r>
    </w:p>
    <w:p>
      <w:pPr>
        <w:pStyle w:val="4"/>
        <w:numPr>
          <w:ilvl w:val="2"/>
          <w:numId w:val="3"/>
        </w:numPr>
      </w:pPr>
      <w:bookmarkStart w:id="0" w:name="_Toc11955_WPSOffice_Level2"/>
      <w:bookmarkStart w:id="1" w:name="_Toc12709"/>
      <w:r>
        <w:rPr>
          <w:rFonts w:hint="eastAsia"/>
        </w:rPr>
        <w:t>设计目标</w:t>
      </w:r>
      <w:bookmarkEnd w:id="0"/>
      <w:bookmarkEnd w:id="1"/>
    </w:p>
    <w:p>
      <w:pPr>
        <w:ind w:firstLine="480" w:firstLineChars="200"/>
        <w:rPr>
          <w:rFonts w:hAnsi="宋体" w:cs="Times New Roman"/>
        </w:rPr>
      </w:pPr>
      <w:r>
        <w:rPr>
          <w:rFonts w:hAnsi="宋体" w:cs="Times New Roman"/>
        </w:rPr>
        <w:t>通过LED大屏幕显示系统，实现高清视频信号接入、转换和显示等主要功能，将各类信息分为多个功能区进行显示，各类视频信号（包含PAL、NTSC、SECAM等标准制式的复合视频信号，包含H.264、MPEG-2/4、MJPEG等压缩标准的数字IP流媒体视频信号）等都可以根据需要单屏多画面、多屏以及整屏显示或者跨屏显示。这样极大的方便用户的日常使用，提高工作效率。</w:t>
      </w:r>
    </w:p>
    <w:p>
      <w:pPr>
        <w:pStyle w:val="4"/>
        <w:numPr>
          <w:ilvl w:val="2"/>
          <w:numId w:val="3"/>
        </w:numPr>
      </w:pPr>
      <w:bookmarkStart w:id="2" w:name="_Toc32553"/>
      <w:bookmarkStart w:id="3" w:name="_Toc24230_WPSOffice_Level2"/>
      <w:r>
        <w:rPr>
          <w:rFonts w:hint="eastAsia"/>
        </w:rPr>
        <w:t>设计原则</w:t>
      </w:r>
      <w:bookmarkEnd w:id="2"/>
      <w:bookmarkEnd w:id="3"/>
    </w:p>
    <w:p>
      <w:pPr>
        <w:ind w:firstLine="480" w:firstLineChars="200"/>
        <w:rPr>
          <w:rFonts w:hAnsi="宋体" w:cs="Times New Roman"/>
          <w:szCs w:val="24"/>
        </w:rPr>
      </w:pPr>
      <w:r>
        <w:rPr>
          <w:rFonts w:hint="eastAsia" w:hAnsi="宋体" w:cs="Times New Roman"/>
          <w:szCs w:val="24"/>
        </w:rPr>
        <w:t>本系统是一套“数字化、模块化、集中管理”的智能显示管理系统，达到“系统集成一体化、数据显示实时化、网络化、定位准确化”的目标。为了满足大屏幕显示的要求，本设计建立的LED显示系统。满足以下需求：</w:t>
      </w:r>
    </w:p>
    <w:p>
      <w:pPr>
        <w:ind w:left="420"/>
        <w:rPr>
          <w:rFonts w:hAnsi="宋体" w:cs="Times New Roman"/>
          <w:b/>
          <w:szCs w:val="24"/>
        </w:rPr>
      </w:pPr>
      <w:r>
        <w:rPr>
          <w:rFonts w:hint="eastAsia" w:hAnsi="宋体"/>
          <w:kern w:val="0"/>
          <w:szCs w:val="24"/>
        </w:rPr>
        <w:t>● 系统安全可靠</w:t>
      </w:r>
    </w:p>
    <w:p>
      <w:pPr>
        <w:ind w:firstLine="480" w:firstLineChars="200"/>
        <w:rPr>
          <w:rFonts w:hAnsi="宋体" w:cs="Times New Roman"/>
          <w:szCs w:val="24"/>
        </w:rPr>
      </w:pPr>
      <w:r>
        <w:rPr>
          <w:rFonts w:hAnsi="宋体" w:cs="Times New Roman"/>
          <w:szCs w:val="24"/>
        </w:rPr>
        <w:t>系统应采用先进的技术和系统结构，提高系统可靠性和安全性，不会对其他子系统造成安全影响和环境影响。减少故障带来的影响，具备模块设计，具备扩展能力，采用统一的控制管理系统，可以灵活操作。</w:t>
      </w:r>
    </w:p>
    <w:p>
      <w:pPr>
        <w:ind w:firstLine="480" w:firstLineChars="200"/>
        <w:rPr>
          <w:rFonts w:hAnsi="宋体" w:cs="Times New Roman"/>
          <w:szCs w:val="24"/>
        </w:rPr>
      </w:pPr>
      <w:r>
        <w:rPr>
          <w:rFonts w:hint="eastAsia" w:hAnsi="宋体" w:cs="Times New Roman"/>
          <w:szCs w:val="24"/>
        </w:rPr>
        <w:t>系统的设计还充分考虑到防雷、配电等影响系统工作可靠性的因素，使系统安全、可靠、稳定运行。系统具有过压、过流、防雷、防静电多重保护功能，提供优质服务，真正实现系统的价值。</w:t>
      </w:r>
    </w:p>
    <w:p>
      <w:pPr>
        <w:ind w:left="420"/>
        <w:rPr>
          <w:rFonts w:hAnsi="宋体" w:cs="Times New Roman"/>
          <w:b/>
          <w:szCs w:val="24"/>
        </w:rPr>
      </w:pPr>
      <w:r>
        <w:rPr>
          <w:rFonts w:hint="eastAsia" w:hAnsi="宋体" w:cs="Times New Roman"/>
          <w:bCs/>
          <w:kern w:val="0"/>
          <w:szCs w:val="24"/>
        </w:rPr>
        <w:t>● 图像显示效果清晰稳定</w:t>
      </w:r>
    </w:p>
    <w:p>
      <w:pPr>
        <w:ind w:firstLine="480" w:firstLineChars="200"/>
        <w:rPr>
          <w:rFonts w:hAnsi="宋体" w:cs="Times New Roman"/>
          <w:szCs w:val="24"/>
        </w:rPr>
      </w:pPr>
      <w:r>
        <w:rPr>
          <w:rFonts w:hint="eastAsia" w:hAnsi="宋体" w:cs="Times New Roman"/>
          <w:szCs w:val="24"/>
        </w:rPr>
        <w:t>整个图像显示系统能够提供高分辨率的底图图像，同时图像显示均匀，色彩还原真实，图像失真小，显示稳定性高，使用寿命长，能满足24小时长期连续显示的要求。</w:t>
      </w:r>
    </w:p>
    <w:p>
      <w:pPr>
        <w:ind w:left="420"/>
        <w:rPr>
          <w:rFonts w:hAnsi="宋体" w:cs="Times New Roman"/>
          <w:b/>
          <w:szCs w:val="24"/>
        </w:rPr>
      </w:pPr>
      <w:r>
        <w:rPr>
          <w:rFonts w:hint="eastAsia" w:hAnsi="宋体"/>
          <w:kern w:val="0"/>
          <w:szCs w:val="24"/>
        </w:rPr>
        <w:t>● 各种显示信号的接入能力</w:t>
      </w:r>
    </w:p>
    <w:p>
      <w:pPr>
        <w:ind w:firstLine="480" w:firstLineChars="200"/>
        <w:rPr>
          <w:rFonts w:hAnsi="宋体" w:cs="Times New Roman"/>
          <w:szCs w:val="24"/>
        </w:rPr>
      </w:pPr>
      <w:r>
        <w:rPr>
          <w:rFonts w:hAnsi="宋体" w:cs="Times New Roman"/>
          <w:szCs w:val="24"/>
        </w:rPr>
        <w:t>能够显示Windows、Linux等主流操作系统的计算机图像信号，能够显示VGA、DVI、HDMI、VIDEO等各种视频信号以及目前市面上常见的SDI高清晰显示信号。</w:t>
      </w:r>
    </w:p>
    <w:p>
      <w:pPr>
        <w:ind w:left="420"/>
        <w:rPr>
          <w:rFonts w:hAnsi="宋体" w:cs="Times New Roman"/>
          <w:b/>
          <w:szCs w:val="24"/>
        </w:rPr>
      </w:pPr>
      <w:r>
        <w:rPr>
          <w:rFonts w:hint="eastAsia" w:hAnsi="宋体" w:cs="Times New Roman"/>
          <w:bCs/>
          <w:kern w:val="0"/>
          <w:szCs w:val="24"/>
        </w:rPr>
        <w:t>● 统一显示和任意位置显示</w:t>
      </w:r>
    </w:p>
    <w:p>
      <w:pPr>
        <w:ind w:firstLine="480" w:firstLineChars="200"/>
        <w:rPr>
          <w:rFonts w:hAnsi="宋体" w:cs="Times New Roman"/>
          <w:szCs w:val="24"/>
        </w:rPr>
      </w:pPr>
      <w:r>
        <w:rPr>
          <w:rFonts w:hAnsi="宋体" w:cs="Times New Roman"/>
          <w:szCs w:val="24"/>
        </w:rPr>
        <w:t>整个显示系统可作为统一显示平台整屏显示各种信号，如显示欢迎辞等。所有信号都能在屏幕任意位置流畅显示，支持画面的放大、缩小、移动、多画面显示等效果。</w:t>
      </w:r>
    </w:p>
    <w:p>
      <w:pPr>
        <w:ind w:left="420"/>
        <w:rPr>
          <w:rFonts w:hAnsi="宋体" w:cs="Times New Roman"/>
          <w:b/>
          <w:szCs w:val="24"/>
        </w:rPr>
      </w:pPr>
      <w:r>
        <w:rPr>
          <w:rFonts w:hint="eastAsia" w:hAnsi="宋体" w:cs="Times New Roman"/>
          <w:bCs/>
          <w:kern w:val="0"/>
          <w:szCs w:val="24"/>
        </w:rPr>
        <w:t>● 统一管理和独立管理</w:t>
      </w:r>
    </w:p>
    <w:p>
      <w:pPr>
        <w:ind w:firstLine="480" w:firstLineChars="200"/>
        <w:rPr>
          <w:rFonts w:hAnsi="宋体" w:cs="Times New Roman"/>
          <w:szCs w:val="24"/>
        </w:rPr>
      </w:pPr>
      <w:r>
        <w:rPr>
          <w:rFonts w:hAnsi="宋体" w:cs="Times New Roman"/>
          <w:szCs w:val="24"/>
        </w:rPr>
        <w:t>整个显示系统可作为统一平台进行统一管理，如在全屏任意位置调用任意信号显示等。同时，各功能区可独立管理，如对所在区域进行开窗、关窗、画面的调用、在该区域内对画面移动等。</w:t>
      </w:r>
    </w:p>
    <w:p>
      <w:pPr>
        <w:ind w:left="420"/>
        <w:rPr>
          <w:rFonts w:hAnsi="宋体" w:cs="Times New Roman"/>
          <w:b/>
          <w:szCs w:val="24"/>
        </w:rPr>
      </w:pPr>
      <w:r>
        <w:rPr>
          <w:rFonts w:hint="eastAsia" w:hAnsi="宋体" w:cs="Times New Roman"/>
          <w:bCs/>
          <w:kern w:val="0"/>
          <w:szCs w:val="24"/>
        </w:rPr>
        <w:t>● 高分辨率图形显示</w:t>
      </w:r>
    </w:p>
    <w:p>
      <w:pPr>
        <w:ind w:firstLine="480" w:firstLineChars="200"/>
        <w:rPr>
          <w:rFonts w:hAnsi="宋体" w:cs="Times New Roman"/>
          <w:szCs w:val="24"/>
        </w:rPr>
      </w:pPr>
      <w:r>
        <w:rPr>
          <w:rFonts w:hAnsi="宋体" w:cs="Times New Roman"/>
          <w:szCs w:val="24"/>
        </w:rPr>
        <w:t>整个显示系统能提供高分辨率统一Windows系统显示平台，能够显示高分辨率底图 ，可通过系统自由叠加各种数据，在大规模、多信息，指挥决策等显示过程中被广泛的使用。</w:t>
      </w:r>
    </w:p>
    <w:p>
      <w:pPr>
        <w:ind w:left="420"/>
        <w:rPr>
          <w:rFonts w:hAnsi="宋体" w:cs="Times New Roman"/>
          <w:b/>
          <w:szCs w:val="24"/>
        </w:rPr>
      </w:pPr>
      <w:r>
        <w:rPr>
          <w:rFonts w:hint="eastAsia" w:hAnsi="宋体" w:cs="Times New Roman"/>
          <w:bCs/>
          <w:kern w:val="0"/>
          <w:szCs w:val="24"/>
        </w:rPr>
        <w:t>● 系统的开放性及可扩展性</w:t>
      </w:r>
    </w:p>
    <w:p>
      <w:pPr>
        <w:ind w:firstLine="480" w:firstLineChars="200"/>
        <w:rPr>
          <w:rFonts w:ascii="等线" w:hAnsi="等线" w:eastAsia="等线" w:cs="Times New Roman"/>
        </w:rPr>
      </w:pPr>
      <w:r>
        <w:rPr>
          <w:rFonts w:hint="eastAsia" w:hAnsi="宋体" w:cs="Times New Roman"/>
          <w:szCs w:val="24"/>
        </w:rPr>
        <w:t>系统平台采用开放式的体系结构，使本系统易于扩充，使相对独立的各子系统易于进行组合和调整。同时，设备符合国际标准或工业标准，充分利用不同的应用和不同网络的优势，将它们有机地结合起来。也就是说，硬件设备，传输介质，软件系统相互独立，自成平台，使相互间依赖减至最小，使其各自发挥自身的优势。同时，保证音、视频和灯光系统的互联、互动，为信息的互通和应用的互操作创造有利的条件。</w:t>
      </w:r>
    </w:p>
    <w:p>
      <w:pPr>
        <w:pStyle w:val="4"/>
        <w:numPr>
          <w:ilvl w:val="2"/>
          <w:numId w:val="3"/>
        </w:numPr>
      </w:pPr>
      <w:bookmarkStart w:id="4" w:name="_Toc25029_WPSOffice_Level2"/>
      <w:bookmarkStart w:id="5" w:name="_Toc4245"/>
      <w:r>
        <w:rPr>
          <w:rFonts w:hint="eastAsia"/>
        </w:rPr>
        <w:t>设计标准</w:t>
      </w:r>
      <w:bookmarkEnd w:id="4"/>
      <w:bookmarkEnd w:id="5"/>
    </w:p>
    <w:p>
      <w:pPr>
        <w:ind w:left="14" w:leftChars="6" w:firstLine="530" w:firstLineChars="221"/>
        <w:rPr>
          <w:rFonts w:hAnsi="宋体" w:eastAsia="等线" w:cs="Times New Roman"/>
        </w:rPr>
      </w:pPr>
      <w:r>
        <w:rPr>
          <w:rFonts w:hint="eastAsia" w:hAnsi="宋体" w:eastAsia="等线" w:cs="Times New Roman"/>
          <w:lang w:val="en-US" w:eastAsia="zh-CN"/>
        </w:rPr>
        <w:t>本次实施</w:t>
      </w:r>
      <w:r>
        <w:rPr>
          <w:rFonts w:hint="eastAsia" w:hAnsi="宋体" w:eastAsia="等线" w:cs="Times New Roman"/>
        </w:rPr>
        <w:t>的技术方案和工程过程中的所有活动均遵守国家现行的规范与标准，系统包括但不限于从设计、检验、安装等方面，均遵照国家现行的技术规范与标准。对我国未制定的规范，对应参照国际标准执行。</w:t>
      </w:r>
    </w:p>
    <w:p>
      <w:pPr>
        <w:rPr>
          <w:rFonts w:hAnsi="宋体" w:eastAsia="等线" w:cs="Times New Roman"/>
        </w:rPr>
      </w:pPr>
      <w:bookmarkStart w:id="6" w:name="_Toc11955_WPSOffice_Level3"/>
      <w:r>
        <w:rPr>
          <w:rFonts w:hint="eastAsia" w:hAnsi="宋体" w:eastAsia="等线" w:cs="Times New Roman"/>
        </w:rPr>
        <w:t>企业质量体系认证</w:t>
      </w:r>
      <w:bookmarkEnd w:id="6"/>
    </w:p>
    <w:p>
      <w:pPr>
        <w:ind w:left="420"/>
        <w:rPr>
          <w:rFonts w:hAnsi="宋体" w:cs="Times New Roman"/>
          <w:b/>
          <w:szCs w:val="24"/>
        </w:rPr>
      </w:pPr>
      <w:r>
        <w:rPr>
          <w:rFonts w:hint="eastAsia" w:hAnsi="宋体" w:cs="Times New Roman"/>
          <w:b/>
          <w:szCs w:val="24"/>
        </w:rPr>
        <w:t>● 国际认证和执行标准的名称</w:t>
      </w:r>
    </w:p>
    <w:p>
      <w:pPr>
        <w:tabs>
          <w:tab w:val="left" w:pos="1260"/>
          <w:tab w:val="left" w:pos="1500"/>
        </w:tabs>
        <w:ind w:left="900"/>
        <w:rPr>
          <w:rFonts w:hAnsi="宋体" w:eastAsia="等线" w:cs="Times New Roman"/>
        </w:rPr>
      </w:pPr>
      <w:r>
        <w:rPr>
          <w:rFonts w:hint="eastAsia" w:hAnsi="宋体" w:cs="Times New Roman"/>
        </w:rPr>
        <w:t>■ ISO9001:2015          质量体系标准</w:t>
      </w:r>
    </w:p>
    <w:p>
      <w:pPr>
        <w:tabs>
          <w:tab w:val="left" w:pos="1260"/>
          <w:tab w:val="left" w:pos="1500"/>
        </w:tabs>
        <w:ind w:left="900"/>
        <w:rPr>
          <w:rFonts w:hAnsi="宋体" w:eastAsia="等线" w:cs="Times New Roman"/>
        </w:rPr>
      </w:pPr>
      <w:r>
        <w:rPr>
          <w:rFonts w:hint="eastAsia" w:hAnsi="宋体" w:cs="Times New Roman"/>
        </w:rPr>
        <w:t>■ ISO14001:2015         环境管理体系标准</w:t>
      </w:r>
    </w:p>
    <w:p>
      <w:pPr>
        <w:tabs>
          <w:tab w:val="left" w:pos="1260"/>
          <w:tab w:val="left" w:pos="1500"/>
        </w:tabs>
        <w:ind w:left="900"/>
        <w:rPr>
          <w:rFonts w:hAnsi="宋体" w:eastAsia="等线" w:cs="Times New Roman"/>
        </w:rPr>
      </w:pPr>
      <w:r>
        <w:rPr>
          <w:rFonts w:hint="eastAsia" w:hAnsi="宋体" w:cs="Times New Roman"/>
        </w:rPr>
        <w:t>■ ISO45001-2018         职业健康安全管理</w:t>
      </w:r>
    </w:p>
    <w:p>
      <w:pPr>
        <w:tabs>
          <w:tab w:val="left" w:pos="1260"/>
          <w:tab w:val="left" w:pos="1500"/>
        </w:tabs>
        <w:ind w:left="900"/>
        <w:rPr>
          <w:rFonts w:hAnsi="宋体" w:eastAsia="等线" w:cs="Times New Roman"/>
        </w:rPr>
      </w:pPr>
      <w:r>
        <w:rPr>
          <w:rFonts w:hint="eastAsia" w:hAnsi="宋体" w:cs="Times New Roman"/>
        </w:rPr>
        <w:t>■ IECQ QC080000:2017    有害物质过程管理体系</w:t>
      </w:r>
    </w:p>
    <w:p>
      <w:pPr>
        <w:tabs>
          <w:tab w:val="left" w:pos="1260"/>
          <w:tab w:val="left" w:pos="1500"/>
        </w:tabs>
        <w:ind w:left="900"/>
        <w:rPr>
          <w:rFonts w:hAnsi="宋体" w:eastAsia="等线" w:cs="Times New Roman"/>
        </w:rPr>
      </w:pPr>
      <w:r>
        <w:rPr>
          <w:rFonts w:hint="eastAsia" w:hAnsi="宋体" w:cs="Times New Roman"/>
        </w:rPr>
        <w:t>■ GB/T 29490-2013       知识产权管理体系</w:t>
      </w:r>
    </w:p>
    <w:p>
      <w:pPr>
        <w:rPr>
          <w:rFonts w:hAnsi="宋体" w:eastAsia="等线" w:cs="Times New Roman"/>
        </w:rPr>
      </w:pPr>
      <w:bookmarkStart w:id="7" w:name="_Toc24230_WPSOffice_Level3"/>
      <w:r>
        <w:rPr>
          <w:rFonts w:hint="eastAsia" w:hAnsi="宋体" w:eastAsia="等线" w:cs="Times New Roman"/>
        </w:rPr>
        <w:t>产品认证和执行标准</w:t>
      </w:r>
      <w:bookmarkEnd w:id="7"/>
    </w:p>
    <w:p>
      <w:pPr>
        <w:ind w:left="420"/>
        <w:rPr>
          <w:rFonts w:hAnsi="宋体" w:cs="Times New Roman"/>
          <w:b/>
          <w:szCs w:val="24"/>
        </w:rPr>
      </w:pPr>
      <w:r>
        <w:rPr>
          <w:rFonts w:hint="eastAsia" w:hAnsi="宋体" w:cs="Times New Roman"/>
          <w:b/>
          <w:kern w:val="0"/>
          <w:szCs w:val="24"/>
        </w:rPr>
        <w:t>● 国际认证和执行标准</w:t>
      </w:r>
    </w:p>
    <w:p>
      <w:pPr>
        <w:tabs>
          <w:tab w:val="left" w:pos="1260"/>
          <w:tab w:val="left" w:pos="1500"/>
        </w:tabs>
        <w:ind w:left="900"/>
        <w:rPr>
          <w:rFonts w:hAnsi="宋体" w:eastAsia="等线" w:cs="Times New Roman"/>
        </w:rPr>
      </w:pPr>
      <w:r>
        <w:rPr>
          <w:rFonts w:hint="eastAsia" w:hAnsi="宋体" w:cs="Times New Roman"/>
        </w:rPr>
        <w:t>■ CE欧洲统一标准  LED显示屏安全认证</w:t>
      </w:r>
    </w:p>
    <w:p>
      <w:pPr>
        <w:tabs>
          <w:tab w:val="left" w:pos="1260"/>
          <w:tab w:val="left" w:pos="1500"/>
        </w:tabs>
        <w:ind w:left="900"/>
        <w:rPr>
          <w:rFonts w:hAnsi="宋体" w:eastAsia="等线" w:cs="Times New Roman"/>
        </w:rPr>
      </w:pPr>
      <w:r>
        <w:rPr>
          <w:rFonts w:hint="eastAsia" w:hAnsi="宋体" w:cs="Times New Roman"/>
        </w:rPr>
        <w:t>■ FCC美国统一标准  通信安全认证</w:t>
      </w:r>
    </w:p>
    <w:p>
      <w:pPr>
        <w:tabs>
          <w:tab w:val="left" w:pos="1260"/>
          <w:tab w:val="left" w:pos="1500"/>
        </w:tabs>
        <w:ind w:left="900"/>
        <w:rPr>
          <w:rFonts w:hAnsi="宋体" w:eastAsia="等线" w:cs="Times New Roman"/>
        </w:rPr>
      </w:pPr>
      <w:r>
        <w:rPr>
          <w:rFonts w:hint="eastAsia" w:hAnsi="宋体" w:cs="Times New Roman"/>
        </w:rPr>
        <w:t>■ ETL 北美统一标准  LED显示屏安全认证</w:t>
      </w:r>
    </w:p>
    <w:p>
      <w:pPr>
        <w:tabs>
          <w:tab w:val="left" w:pos="1260"/>
          <w:tab w:val="left" w:pos="1500"/>
        </w:tabs>
        <w:ind w:left="900"/>
        <w:rPr>
          <w:rFonts w:hAnsi="宋体" w:eastAsia="等线" w:cs="Times New Roman"/>
        </w:rPr>
      </w:pPr>
      <w:r>
        <w:rPr>
          <w:rFonts w:hint="eastAsia" w:hAnsi="宋体" w:cs="Times New Roman"/>
        </w:rPr>
        <w:t>■ EMC：EN55032:2015；EN55024:2010+A1；EN61000-3-2:2014；EN61000-3-3:2013;EN55035:2017</w:t>
      </w:r>
    </w:p>
    <w:p>
      <w:pPr>
        <w:tabs>
          <w:tab w:val="left" w:pos="1260"/>
          <w:tab w:val="left" w:pos="1500"/>
        </w:tabs>
        <w:ind w:left="900"/>
        <w:rPr>
          <w:rFonts w:hAnsi="宋体" w:eastAsia="等线" w:cs="Times New Roman"/>
        </w:rPr>
      </w:pPr>
      <w:r>
        <w:rPr>
          <w:rFonts w:hint="eastAsia" w:hAnsi="宋体" w:cs="Times New Roman"/>
        </w:rPr>
        <w:t>■ LVD： EN60950</w:t>
      </w:r>
    </w:p>
    <w:p>
      <w:pPr>
        <w:tabs>
          <w:tab w:val="left" w:pos="1260"/>
          <w:tab w:val="left" w:pos="1500"/>
        </w:tabs>
        <w:ind w:left="900"/>
        <w:rPr>
          <w:rFonts w:hAnsi="宋体" w:eastAsia="等线" w:cs="Times New Roman"/>
        </w:rPr>
      </w:pPr>
      <w:r>
        <w:rPr>
          <w:rFonts w:hint="eastAsia" w:hAnsi="宋体" w:cs="Times New Roman"/>
        </w:rPr>
        <w:t>■ ROHS：IEC62321-4;IEC6242321-5;IEC6242321-6; IEC6242321-7</w:t>
      </w:r>
    </w:p>
    <w:p>
      <w:pPr>
        <w:ind w:left="420"/>
        <w:rPr>
          <w:rFonts w:hAnsi="宋体" w:cs="Times New Roman"/>
          <w:b/>
          <w:szCs w:val="24"/>
        </w:rPr>
      </w:pPr>
      <w:r>
        <w:rPr>
          <w:rFonts w:hint="eastAsia" w:hAnsi="宋体" w:cs="Times New Roman"/>
          <w:bCs/>
          <w:szCs w:val="24"/>
        </w:rPr>
        <w:t>● 国家认证和执行标准</w:t>
      </w:r>
    </w:p>
    <w:p>
      <w:pPr>
        <w:tabs>
          <w:tab w:val="left" w:pos="1260"/>
          <w:tab w:val="left" w:pos="1500"/>
        </w:tabs>
        <w:ind w:left="900"/>
        <w:rPr>
          <w:rFonts w:hAnsi="宋体" w:eastAsia="等线" w:cs="Times New Roman"/>
        </w:rPr>
      </w:pPr>
      <w:r>
        <w:rPr>
          <w:rFonts w:hint="eastAsia" w:hAnsi="宋体" w:cs="Times New Roman"/>
        </w:rPr>
        <w:t>■ 中国国家强制性产品认证（3C认证） 全彩LED显示屏</w:t>
      </w:r>
    </w:p>
    <w:p>
      <w:pPr>
        <w:tabs>
          <w:tab w:val="left" w:pos="1260"/>
          <w:tab w:val="left" w:pos="1500"/>
        </w:tabs>
        <w:ind w:left="900"/>
        <w:rPr>
          <w:rFonts w:hAnsi="宋体" w:eastAsia="等线" w:cs="Times New Roman"/>
        </w:rPr>
      </w:pPr>
      <w:r>
        <w:rPr>
          <w:rFonts w:hint="eastAsia" w:hAnsi="宋体" w:cs="Times New Roman"/>
        </w:rPr>
        <w:t>■ 中国节能产品认证    全彩LED显示屏</w:t>
      </w:r>
    </w:p>
    <w:p>
      <w:pPr>
        <w:tabs>
          <w:tab w:val="left" w:pos="1260"/>
          <w:tab w:val="left" w:pos="1500"/>
        </w:tabs>
        <w:ind w:left="900"/>
        <w:rPr>
          <w:rFonts w:hAnsi="宋体" w:eastAsia="等线" w:cs="Times New Roman"/>
        </w:rPr>
      </w:pPr>
      <w:r>
        <w:rPr>
          <w:rFonts w:hint="eastAsia" w:hAnsi="宋体" w:cs="Times New Roman"/>
        </w:rPr>
        <w:t>■ GB4943--2011  《信息技术设备安全 第1部分：通用要求》</w:t>
      </w:r>
      <w:r>
        <w:rPr>
          <w:rFonts w:hint="eastAsia" w:hAnsi="宋体" w:eastAsia="等线" w:cs="Times New Roman"/>
        </w:rPr>
        <w:tab/>
      </w:r>
    </w:p>
    <w:p>
      <w:pPr>
        <w:tabs>
          <w:tab w:val="left" w:pos="1260"/>
          <w:tab w:val="left" w:pos="1500"/>
        </w:tabs>
        <w:ind w:left="900"/>
        <w:rPr>
          <w:rFonts w:hAnsi="宋体" w:eastAsia="等线" w:cs="Times New Roman"/>
        </w:rPr>
      </w:pPr>
      <w:r>
        <w:rPr>
          <w:rFonts w:hint="eastAsia" w:hAnsi="宋体" w:cs="Times New Roman"/>
        </w:rPr>
        <w:t>■ GB/T 9254--2008     《信息技术设备的无线电骚扰限值和测量方法》</w:t>
      </w:r>
      <w:r>
        <w:rPr>
          <w:rFonts w:hint="eastAsia" w:hAnsi="宋体" w:eastAsia="等线" w:cs="Times New Roman"/>
        </w:rPr>
        <w:tab/>
      </w:r>
    </w:p>
    <w:p>
      <w:pPr>
        <w:tabs>
          <w:tab w:val="left" w:pos="1260"/>
          <w:tab w:val="left" w:pos="1500"/>
        </w:tabs>
        <w:ind w:left="900"/>
        <w:rPr>
          <w:rFonts w:hAnsi="宋体" w:eastAsia="等线" w:cs="Times New Roman"/>
        </w:rPr>
      </w:pPr>
      <w:r>
        <w:rPr>
          <w:rFonts w:hint="eastAsia" w:hAnsi="宋体" w:cs="Times New Roman"/>
        </w:rPr>
        <w:t>■ GB17625.1-- 2012  《电磁兼容 限制 谐波电流发射限值（设备每相输入电流≤16A）》</w:t>
      </w:r>
    </w:p>
    <w:p>
      <w:pPr>
        <w:tabs>
          <w:tab w:val="left" w:pos="1260"/>
          <w:tab w:val="left" w:pos="1500"/>
        </w:tabs>
        <w:ind w:left="900"/>
        <w:rPr>
          <w:rFonts w:hAnsi="宋体" w:eastAsia="等线" w:cs="Times New Roman"/>
        </w:rPr>
      </w:pPr>
      <w:r>
        <w:rPr>
          <w:rFonts w:hint="eastAsia" w:hAnsi="宋体" w:cs="Times New Roman"/>
        </w:rPr>
        <w:t>■ GB/T　10239-2011  彩色电视广播接收机通用规范</w:t>
      </w:r>
      <w:r>
        <w:rPr>
          <w:rFonts w:hint="eastAsia" w:hAnsi="宋体" w:eastAsia="等线" w:cs="Times New Roman"/>
        </w:rPr>
        <w:tab/>
      </w:r>
    </w:p>
    <w:p>
      <w:pPr>
        <w:tabs>
          <w:tab w:val="left" w:pos="1260"/>
          <w:tab w:val="left" w:pos="1500"/>
        </w:tabs>
        <w:ind w:left="900"/>
        <w:rPr>
          <w:rFonts w:hAnsi="宋体" w:eastAsia="等线" w:cs="Times New Roman"/>
        </w:rPr>
      </w:pPr>
      <w:r>
        <w:rPr>
          <w:rFonts w:hint="eastAsia" w:hAnsi="宋体" w:cs="Times New Roman"/>
        </w:rPr>
        <w:t>■ GB50260-2013      电力设施抗震设计规范</w:t>
      </w:r>
    </w:p>
    <w:p>
      <w:pPr>
        <w:tabs>
          <w:tab w:val="left" w:pos="1260"/>
          <w:tab w:val="left" w:pos="1500"/>
        </w:tabs>
        <w:ind w:left="900"/>
        <w:rPr>
          <w:rFonts w:hAnsi="宋体" w:eastAsia="等线" w:cs="Times New Roman"/>
        </w:rPr>
      </w:pPr>
      <w:r>
        <w:rPr>
          <w:rFonts w:hint="eastAsia" w:hAnsi="宋体" w:cs="Times New Roman"/>
        </w:rPr>
        <w:t>■ GB50011-2010      建筑抗震设计规范</w:t>
      </w:r>
    </w:p>
    <w:p>
      <w:pPr>
        <w:tabs>
          <w:tab w:val="left" w:pos="1260"/>
          <w:tab w:val="left" w:pos="1500"/>
        </w:tabs>
        <w:ind w:left="900"/>
        <w:rPr>
          <w:rFonts w:hAnsi="宋体" w:eastAsia="等线" w:cs="Times New Roman"/>
        </w:rPr>
      </w:pPr>
      <w:r>
        <w:rPr>
          <w:rFonts w:hint="eastAsia" w:hAnsi="宋体" w:cs="Times New Roman"/>
        </w:rPr>
        <w:t>■ GB/T 9313-1995    数字电子计算机用阴极射线管显示设备通用技术条件</w:t>
      </w:r>
    </w:p>
    <w:p>
      <w:pPr>
        <w:tabs>
          <w:tab w:val="left" w:pos="1500"/>
        </w:tabs>
        <w:ind w:left="900"/>
        <w:rPr>
          <w:rFonts w:hAnsi="宋体" w:eastAsia="等线" w:cs="Times New Roman"/>
        </w:rPr>
      </w:pPr>
      <w:r>
        <w:rPr>
          <w:rFonts w:hint="eastAsia" w:hAnsi="宋体" w:cs="Times New Roman"/>
        </w:rPr>
        <w:t>■ GB/T6882-2016 声学 声压法测定噪声源声功率级和声能量级 消声室和半消声室精密法</w:t>
      </w:r>
      <w:r>
        <w:rPr>
          <w:rFonts w:hint="eastAsia" w:hAnsi="宋体" w:eastAsia="等线" w:cs="Times New Roman"/>
        </w:rPr>
        <w:tab/>
      </w:r>
    </w:p>
    <w:p>
      <w:pPr>
        <w:tabs>
          <w:tab w:val="left" w:pos="1500"/>
        </w:tabs>
        <w:ind w:left="900"/>
        <w:rPr>
          <w:rFonts w:hAnsi="宋体" w:eastAsia="等线" w:cs="Times New Roman"/>
        </w:rPr>
      </w:pPr>
      <w:r>
        <w:rPr>
          <w:rFonts w:hint="eastAsia" w:hAnsi="宋体" w:cs="Times New Roman"/>
        </w:rPr>
        <w:t>■ GB/T 50314-2015     智能建筑设计标准</w:t>
      </w:r>
    </w:p>
    <w:p>
      <w:pPr>
        <w:tabs>
          <w:tab w:val="left" w:pos="1500"/>
        </w:tabs>
        <w:ind w:left="900"/>
        <w:rPr>
          <w:rFonts w:hAnsi="宋体" w:eastAsia="等线" w:cs="Times New Roman"/>
        </w:rPr>
      </w:pPr>
      <w:r>
        <w:rPr>
          <w:rFonts w:hint="eastAsia" w:hAnsi="宋体" w:cs="Times New Roman"/>
        </w:rPr>
        <w:t>■ GA/T 367-2001       视频安防监控系统技术要求</w:t>
      </w:r>
    </w:p>
    <w:p>
      <w:pPr>
        <w:tabs>
          <w:tab w:val="left" w:pos="1500"/>
        </w:tabs>
        <w:ind w:left="900"/>
        <w:rPr>
          <w:rFonts w:hAnsi="宋体" w:eastAsia="等线" w:cs="Times New Roman"/>
        </w:rPr>
      </w:pPr>
      <w:r>
        <w:rPr>
          <w:rFonts w:hint="eastAsia" w:hAnsi="宋体" w:cs="Times New Roman"/>
        </w:rPr>
        <w:t>■ SJ/T 11141-2017     发光二极管(LED)显示屏通用规范</w:t>
      </w:r>
    </w:p>
    <w:p>
      <w:pPr>
        <w:tabs>
          <w:tab w:val="left" w:pos="1500"/>
        </w:tabs>
        <w:ind w:left="900"/>
        <w:rPr>
          <w:rFonts w:hAnsi="宋体" w:eastAsia="等线" w:cs="Times New Roman"/>
        </w:rPr>
      </w:pPr>
      <w:r>
        <w:rPr>
          <w:rFonts w:hint="eastAsia" w:hAnsi="宋体" w:cs="Times New Roman"/>
        </w:rPr>
        <w:t>■ SJ/T 11281-2017     发光二极管(LED)显示屏测试方法</w:t>
      </w:r>
    </w:p>
    <w:p>
      <w:pPr>
        <w:tabs>
          <w:tab w:val="left" w:pos="1500"/>
        </w:tabs>
        <w:ind w:left="900"/>
        <w:rPr>
          <w:rFonts w:hAnsi="宋体" w:cs="Arial"/>
        </w:rPr>
      </w:pPr>
      <w:r>
        <w:rPr>
          <w:rFonts w:hint="eastAsia" w:hAnsi="宋体" w:cs="Times New Roman"/>
        </w:rPr>
        <w:t>■ GB50174-2017        电子信息系统机房设计规范</w:t>
      </w:r>
    </w:p>
    <w:p>
      <w:pPr>
        <w:widowControl/>
        <w:jc w:val="left"/>
      </w:pPr>
    </w:p>
    <w:p>
      <w:pPr>
        <w:pageBreakBefore/>
      </w:pPr>
    </w:p>
    <w:p>
      <w:pPr>
        <w:pStyle w:val="2"/>
        <w:numPr>
          <w:ilvl w:val="0"/>
          <w:numId w:val="3"/>
        </w:numPr>
      </w:pPr>
      <w:r>
        <w:t>项目整体设计方案</w:t>
      </w:r>
    </w:p>
    <w:p>
      <w:pPr>
        <w:ind w:firstLine="420" w:firstLineChars="200"/>
        <w:rPr>
          <w:rFonts w:hAnsi="宋体" w:cs="宋体"/>
          <w:sz w:val="21"/>
        </w:rPr>
      </w:pPr>
      <w:r>
        <w:rPr>
          <w:rFonts w:hint="eastAsia" w:hAnsi="宋体" w:cs="宋体"/>
          <w:sz w:val="21"/>
        </w:rPr>
        <w:t>主屏：间距：2.5mm； 显示尺寸1</w:t>
      </w:r>
      <w:r>
        <w:rPr>
          <w:rFonts w:hAnsi="宋体" w:cs="宋体"/>
          <w:sz w:val="21"/>
        </w:rPr>
        <w:t>4</w:t>
      </w:r>
      <w:r>
        <w:rPr>
          <w:rFonts w:hint="eastAsia" w:hAnsi="宋体" w:cs="宋体"/>
          <w:sz w:val="21"/>
        </w:rPr>
        <w:t>X6.75； 总尺寸1</w:t>
      </w:r>
      <w:r>
        <w:rPr>
          <w:rFonts w:hAnsi="宋体" w:cs="宋体"/>
          <w:sz w:val="21"/>
        </w:rPr>
        <w:t>4</w:t>
      </w:r>
      <w:r>
        <w:rPr>
          <w:rFonts w:hint="eastAsia" w:hAnsi="宋体" w:cs="宋体"/>
          <w:sz w:val="21"/>
        </w:rPr>
        <w:t>X7.57；比例16:9(全屏接近，分屏按比例显示画面).</w:t>
      </w:r>
    </w:p>
    <w:p>
      <w:pPr>
        <w:ind w:firstLine="420" w:firstLineChars="200"/>
        <w:rPr>
          <w:rFonts w:hAnsi="宋体" w:cs="宋体"/>
          <w:sz w:val="21"/>
        </w:rPr>
      </w:pPr>
      <w:r>
        <w:rPr>
          <w:rFonts w:hint="eastAsia" w:hAnsi="宋体" w:cs="宋体"/>
          <w:sz w:val="21"/>
        </w:rPr>
        <w:t>侧屏：间距：2.5mm；显示尺寸</w:t>
      </w:r>
      <w:r>
        <w:rPr>
          <w:rFonts w:hAnsi="宋体" w:cs="宋体"/>
          <w:sz w:val="21"/>
        </w:rPr>
        <w:t>4</w:t>
      </w:r>
      <w:r>
        <w:rPr>
          <w:rFonts w:hint="eastAsia" w:hAnsi="宋体" w:cs="宋体"/>
          <w:sz w:val="21"/>
        </w:rPr>
        <w:t>X2.</w:t>
      </w:r>
      <w:r>
        <w:rPr>
          <w:rFonts w:hAnsi="宋体" w:cs="宋体"/>
          <w:sz w:val="21"/>
        </w:rPr>
        <w:t>24</w:t>
      </w:r>
      <w:r>
        <w:rPr>
          <w:rFonts w:hint="eastAsia" w:hAnsi="宋体" w:cs="宋体"/>
          <w:sz w:val="21"/>
        </w:rPr>
        <w:t>； 总尺寸</w:t>
      </w:r>
      <w:r>
        <w:rPr>
          <w:rFonts w:hAnsi="宋体" w:cs="宋体"/>
          <w:sz w:val="21"/>
        </w:rPr>
        <w:t>4X2.24</w:t>
      </w:r>
      <w:r>
        <w:rPr>
          <w:rFonts w:hint="eastAsia" w:hAnsi="宋体" w:cs="宋体"/>
          <w:sz w:val="21"/>
        </w:rPr>
        <w:t>； 比例16:9(标准).</w:t>
      </w:r>
    </w:p>
    <w:p>
      <w:pPr>
        <w:pStyle w:val="4"/>
        <w:numPr>
          <w:ilvl w:val="2"/>
          <w:numId w:val="3"/>
        </w:numPr>
      </w:pPr>
      <w:r>
        <w:rPr>
          <w:rFonts w:hint="eastAsia"/>
        </w:rPr>
        <w:t>设计说明</w:t>
      </w:r>
    </w:p>
    <w:p>
      <w:pPr>
        <w:ind w:firstLine="420" w:firstLineChars="200"/>
        <w:rPr>
          <w:rFonts w:ascii="华文细黑" w:hAnsi="华文细黑"/>
          <w:sz w:val="21"/>
        </w:rPr>
      </w:pPr>
      <w:r>
        <w:rPr>
          <w:rFonts w:hint="eastAsia" w:ascii="华文细黑" w:hAnsi="华文细黑"/>
          <w:sz w:val="21"/>
        </w:rPr>
        <w:t>按照</w:t>
      </w:r>
      <w:r>
        <w:rPr>
          <w:rFonts w:hint="eastAsia" w:ascii="华文细黑" w:hAnsi="华文细黑"/>
          <w:sz w:val="21"/>
          <w:lang w:val="en-US" w:eastAsia="zh-CN"/>
        </w:rPr>
        <w:t>大礼堂</w:t>
      </w:r>
      <w:r>
        <w:rPr>
          <w:rFonts w:hint="eastAsia" w:ascii="华文细黑" w:hAnsi="华文细黑"/>
          <w:sz w:val="21"/>
        </w:rPr>
        <w:t>设计要求、结合实际情况，主屏比例显示需要调整，侧屏标准16:9播放常规素材不需要特殊定制，人物画质不压缩不变形，控制端通过软件可实时无缝切换信号软，可以自有划分区域，素材可统一管理，预置场景，快捷切换，可对主屏实现图层一键布局，具备可视化操作，所见即所得，提升现场控制准确性和正对性。</w:t>
      </w:r>
    </w:p>
    <w:p>
      <w:pPr>
        <w:rPr>
          <w:rFonts w:ascii="华文细黑" w:hAnsi="华文细黑"/>
          <w:sz w:val="21"/>
        </w:rPr>
      </w:pPr>
    </w:p>
    <w:p>
      <w:pPr>
        <w:pStyle w:val="4"/>
        <w:numPr>
          <w:ilvl w:val="2"/>
          <w:numId w:val="3"/>
        </w:numPr>
      </w:pPr>
      <w:r>
        <w:t>系统拓扑图（根据实际图修改）</w:t>
      </w:r>
    </w:p>
    <w:p>
      <w:pPr>
        <w:spacing w:after="120"/>
        <w:jc w:val="center"/>
        <w:rPr>
          <w:szCs w:val="24"/>
        </w:rPr>
      </w:pPr>
      <w:r>
        <w:rPr>
          <w:rFonts w:ascii="等线" w:hAnsi="等线" w:eastAsia="等线" w:cs="Times New Roman"/>
        </w:rPr>
        <w:drawing>
          <wp:inline distT="0" distB="0" distL="0" distR="0">
            <wp:extent cx="4264660" cy="321754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264660" cy="3217545"/>
                    </a:xfrm>
                    <a:prstGeom prst="rect">
                      <a:avLst/>
                    </a:prstGeom>
                    <a:noFill/>
                    <a:ln>
                      <a:noFill/>
                    </a:ln>
                  </pic:spPr>
                </pic:pic>
              </a:graphicData>
            </a:graphic>
          </wp:inline>
        </w:drawing>
      </w:r>
      <w:bookmarkStart w:id="8" w:name="_GoBack"/>
      <w:bookmarkEnd w:id="8"/>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思源黑体 CN Regular">
    <w:altName w:val="微软雅黑"/>
    <w:panose1 w:val="00000000000000000000"/>
    <w:charset w:val="86"/>
    <w:family w:val="swiss"/>
    <w:pitch w:val="default"/>
    <w:sig w:usb0="00000000" w:usb1="00000000" w:usb2="00000016" w:usb3="00000000" w:csb0="00060107"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思源黑体 CN Light">
    <w:altName w:val="微软雅黑"/>
    <w:panose1 w:val="00000000000000000000"/>
    <w:charset w:val="86"/>
    <w:family w:val="swiss"/>
    <w:pitch w:val="default"/>
    <w:sig w:usb0="00000000" w:usb1="00000000" w:usb2="00000016" w:usb3="00000000" w:csb0="0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908695"/>
      <w:docPartObj>
        <w:docPartGallery w:val="autotext"/>
      </w:docPartObj>
    </w:sdtPr>
    <w:sdtContent>
      <w:p>
        <w:pPr>
          <w:pStyle w:val="12"/>
        </w:pPr>
        <w:r>
          <w:rPr>
            <w:rFonts w:ascii="思源黑体 CN Light" w:hAnsi="思源黑体 CN Light" w:eastAsia="思源黑体 CN Light"/>
          </w:rPr>
          <w:t xml:space="preserve">                      </w:t>
        </w:r>
        <w:r>
          <w:rPr>
            <w:rFonts w:hint="eastAsia" w:ascii="思源黑体 CN Light" w:hAnsi="思源黑体 CN Light" w:eastAsia="思源黑体 CN Light"/>
            <w:lang w:val="en-US" w:eastAsia="zh-CN"/>
          </w:rPr>
          <w:t xml:space="preserve">                       </w:t>
        </w:r>
        <w:r>
          <w:rPr>
            <w:rFonts w:ascii="思源黑体 CN Light" w:hAnsi="思源黑体 CN Light" w:eastAsia="思源黑体 CN Light"/>
          </w:rPr>
          <w:t xml:space="preserve"> </w:t>
        </w: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adjustRightInd w:val="0"/>
      <w:spacing w:line="240" w:lineRule="auto"/>
      <w:jc w:val="right"/>
      <w:rPr>
        <w:rFonts w:ascii="微软雅黑" w:hAnsi="微软雅黑"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DB8EF"/>
    <w:multiLevelType w:val="multilevel"/>
    <w:tmpl w:val="342DB8EF"/>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48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3C029BE1"/>
    <w:multiLevelType w:val="singleLevel"/>
    <w:tmpl w:val="3C029BE1"/>
    <w:lvl w:ilvl="0" w:tentative="0">
      <w:start w:val="1"/>
      <w:numFmt w:val="chineseCounting"/>
      <w:suff w:val="nothing"/>
      <w:lvlText w:val="（%1）"/>
      <w:lvlJc w:val="left"/>
      <w:pPr>
        <w:ind w:left="0" w:firstLine="420"/>
      </w:pPr>
      <w:rPr>
        <w:rFonts w:hint="eastAsia"/>
      </w:rPr>
    </w:lvl>
  </w:abstractNum>
  <w:abstractNum w:abstractNumId="2">
    <w:nsid w:val="3FCCD130"/>
    <w:multiLevelType w:val="multilevel"/>
    <w:tmpl w:val="3FCCD130"/>
    <w:lvl w:ilvl="0" w:tentative="0">
      <w:start w:val="1"/>
      <w:numFmt w:val="chineseCounting"/>
      <w:suff w:val="nothing"/>
      <w:lvlText w:val="%1、"/>
      <w:lvlJc w:val="left"/>
      <w:pPr>
        <w:ind w:left="80" w:firstLine="400"/>
      </w:pPr>
      <w:rPr>
        <w:rFonts w:hint="eastAsia"/>
      </w:rPr>
    </w:lvl>
    <w:lvl w:ilvl="1" w:tentative="0">
      <w:start w:val="1"/>
      <w:numFmt w:val="decimal"/>
      <w:suff w:val="nothing"/>
      <w:lvlText w:val="%2．"/>
      <w:lvlJc w:val="left"/>
      <w:pPr>
        <w:ind w:left="-40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78"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Dk3MjVkYjQ0YmQ1MzU0MTFkZTQ5NzdjNjMwM2UifQ=="/>
  </w:docVars>
  <w:rsids>
    <w:rsidRoot w:val="006940A9"/>
    <w:rsid w:val="00013766"/>
    <w:rsid w:val="000760C0"/>
    <w:rsid w:val="000C3AD7"/>
    <w:rsid w:val="000C7CAF"/>
    <w:rsid w:val="00146351"/>
    <w:rsid w:val="001659A8"/>
    <w:rsid w:val="00174FCA"/>
    <w:rsid w:val="001840C1"/>
    <w:rsid w:val="001966B7"/>
    <w:rsid w:val="001D6677"/>
    <w:rsid w:val="001E131B"/>
    <w:rsid w:val="00204A37"/>
    <w:rsid w:val="002160E5"/>
    <w:rsid w:val="00273179"/>
    <w:rsid w:val="002A0CF9"/>
    <w:rsid w:val="002D2BC3"/>
    <w:rsid w:val="00311DF0"/>
    <w:rsid w:val="0033416F"/>
    <w:rsid w:val="00350C3A"/>
    <w:rsid w:val="00363306"/>
    <w:rsid w:val="0039104A"/>
    <w:rsid w:val="003B5EFF"/>
    <w:rsid w:val="004548C9"/>
    <w:rsid w:val="0046651D"/>
    <w:rsid w:val="004A2C88"/>
    <w:rsid w:val="004B49A6"/>
    <w:rsid w:val="004C0D47"/>
    <w:rsid w:val="00522C71"/>
    <w:rsid w:val="005524B8"/>
    <w:rsid w:val="00554739"/>
    <w:rsid w:val="005A136A"/>
    <w:rsid w:val="005D29F4"/>
    <w:rsid w:val="005F7814"/>
    <w:rsid w:val="00640DA2"/>
    <w:rsid w:val="006725F9"/>
    <w:rsid w:val="006940A9"/>
    <w:rsid w:val="006F23FA"/>
    <w:rsid w:val="00732A80"/>
    <w:rsid w:val="007675A9"/>
    <w:rsid w:val="007B0EE1"/>
    <w:rsid w:val="007B4487"/>
    <w:rsid w:val="007F3ACD"/>
    <w:rsid w:val="008A5291"/>
    <w:rsid w:val="008F79CC"/>
    <w:rsid w:val="00900360"/>
    <w:rsid w:val="009148FD"/>
    <w:rsid w:val="0095517B"/>
    <w:rsid w:val="00956867"/>
    <w:rsid w:val="0098141D"/>
    <w:rsid w:val="009F3A8D"/>
    <w:rsid w:val="00A23EFF"/>
    <w:rsid w:val="00A35A82"/>
    <w:rsid w:val="00A67062"/>
    <w:rsid w:val="00A85422"/>
    <w:rsid w:val="00AC45DD"/>
    <w:rsid w:val="00AE7AB5"/>
    <w:rsid w:val="00B2485C"/>
    <w:rsid w:val="00B2509F"/>
    <w:rsid w:val="00BF4914"/>
    <w:rsid w:val="00C768EA"/>
    <w:rsid w:val="00C83A2D"/>
    <w:rsid w:val="00C90469"/>
    <w:rsid w:val="00CC53DE"/>
    <w:rsid w:val="00CD03B6"/>
    <w:rsid w:val="00CD2EAC"/>
    <w:rsid w:val="00CD354D"/>
    <w:rsid w:val="00CF4590"/>
    <w:rsid w:val="00D17527"/>
    <w:rsid w:val="00D20E14"/>
    <w:rsid w:val="00DA5D8B"/>
    <w:rsid w:val="00DD3710"/>
    <w:rsid w:val="00E54E11"/>
    <w:rsid w:val="00E7643A"/>
    <w:rsid w:val="00F80571"/>
    <w:rsid w:val="00F87517"/>
    <w:rsid w:val="00FC28EA"/>
    <w:rsid w:val="00FE490C"/>
    <w:rsid w:val="00FE6FA3"/>
    <w:rsid w:val="52AD5E60"/>
    <w:rsid w:val="52C2392A"/>
    <w:rsid w:val="56293F25"/>
    <w:rsid w:val="68984177"/>
    <w:rsid w:val="78AA6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eastAsia="宋体" w:hAnsiTheme="minorHAnsi" w:cstheme="minorBidi"/>
      <w:kern w:val="2"/>
      <w:sz w:val="24"/>
      <w:szCs w:val="22"/>
      <w:lang w:val="en-US" w:eastAsia="zh-CN" w:bidi="ar-SA"/>
    </w:rPr>
  </w:style>
  <w:style w:type="paragraph" w:styleId="2">
    <w:name w:val="heading 1"/>
    <w:basedOn w:val="1"/>
    <w:next w:val="1"/>
    <w:link w:val="20"/>
    <w:qFormat/>
    <w:uiPriority w:val="9"/>
    <w:pPr>
      <w:keepNext/>
      <w:keepLines/>
      <w:numPr>
        <w:ilvl w:val="0"/>
        <w:numId w:val="1"/>
      </w:numPr>
      <w:spacing w:before="340" w:after="330" w:line="578" w:lineRule="auto"/>
      <w:jc w:val="left"/>
      <w:outlineLvl w:val="0"/>
    </w:pPr>
    <w:rPr>
      <w:rFonts w:ascii="Times New Roman" w:hAnsi="Times New Roman"/>
      <w:b/>
      <w:bCs/>
      <w:kern w:val="44"/>
      <w:sz w:val="32"/>
      <w:szCs w:val="44"/>
    </w:rPr>
  </w:style>
  <w:style w:type="paragraph" w:styleId="3">
    <w:name w:val="heading 2"/>
    <w:basedOn w:val="1"/>
    <w:next w:val="1"/>
    <w:link w:val="21"/>
    <w:unhideWhenUsed/>
    <w:qFormat/>
    <w:uiPriority w:val="9"/>
    <w:pPr>
      <w:keepNext/>
      <w:keepLines/>
      <w:numPr>
        <w:ilvl w:val="1"/>
        <w:numId w:val="1"/>
      </w:numPr>
      <w:spacing w:before="260" w:after="260" w:line="416" w:lineRule="auto"/>
      <w:ind w:left="0"/>
      <w:jc w:val="left"/>
      <w:outlineLvl w:val="1"/>
    </w:pPr>
    <w:rPr>
      <w:rFonts w:ascii="Times New Roman" w:hAnsi="Times New Roman" w:cstheme="majorBidi"/>
      <w:b/>
      <w:bCs/>
      <w:sz w:val="30"/>
      <w:szCs w:val="32"/>
    </w:rPr>
  </w:style>
  <w:style w:type="paragraph" w:styleId="4">
    <w:name w:val="heading 3"/>
    <w:basedOn w:val="1"/>
    <w:next w:val="1"/>
    <w:link w:val="22"/>
    <w:unhideWhenUsed/>
    <w:qFormat/>
    <w:uiPriority w:val="9"/>
    <w:pPr>
      <w:keepNext/>
      <w:keepLines/>
      <w:numPr>
        <w:ilvl w:val="2"/>
        <w:numId w:val="1"/>
      </w:numPr>
      <w:spacing w:before="260" w:after="260" w:line="416" w:lineRule="auto"/>
      <w:jc w:val="left"/>
      <w:outlineLvl w:val="2"/>
    </w:pPr>
    <w:rPr>
      <w:rFonts w:ascii="Times New Roman" w:hAnsi="Times New Roman"/>
      <w:b/>
      <w:bCs/>
      <w:sz w:val="28"/>
      <w:szCs w:val="32"/>
    </w:rPr>
  </w:style>
  <w:style w:type="paragraph" w:styleId="5">
    <w:name w:val="heading 4"/>
    <w:basedOn w:val="1"/>
    <w:next w:val="1"/>
    <w:link w:val="23"/>
    <w:unhideWhenUsed/>
    <w:qFormat/>
    <w:uiPriority w:val="9"/>
    <w:pPr>
      <w:keepNext/>
      <w:keepLines/>
      <w:numPr>
        <w:ilvl w:val="3"/>
        <w:numId w:val="1"/>
      </w:numPr>
      <w:spacing w:before="280" w:after="290" w:line="376" w:lineRule="auto"/>
      <w:jc w:val="left"/>
      <w:outlineLvl w:val="3"/>
    </w:pPr>
    <w:rPr>
      <w:rFonts w:ascii="Times New Roman" w:hAnsi="Times New Roman" w:cstheme="majorBidi"/>
      <w:b/>
      <w:bCs/>
      <w:szCs w:val="28"/>
    </w:rPr>
  </w:style>
  <w:style w:type="paragraph" w:styleId="6">
    <w:name w:val="heading 5"/>
    <w:basedOn w:val="1"/>
    <w:next w:val="1"/>
    <w:link w:val="24"/>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5"/>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26"/>
    <w:semiHidden/>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27"/>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28"/>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Balloon Text"/>
    <w:basedOn w:val="1"/>
    <w:link w:val="19"/>
    <w:semiHidden/>
    <w:unhideWhenUsed/>
    <w:qFormat/>
    <w:uiPriority w:val="99"/>
    <w:rPr>
      <w:sz w:val="18"/>
      <w:szCs w:val="18"/>
    </w:rPr>
  </w:style>
  <w:style w:type="paragraph" w:styleId="12">
    <w:name w:val="footer"/>
    <w:basedOn w:val="1"/>
    <w:link w:val="18"/>
    <w:unhideWhenUsed/>
    <w:uiPriority w:val="99"/>
    <w:pPr>
      <w:tabs>
        <w:tab w:val="center" w:pos="4153"/>
        <w:tab w:val="right" w:pos="8306"/>
      </w:tabs>
      <w:snapToGrid w:val="0"/>
      <w:jc w:val="left"/>
    </w:pPr>
    <w:rPr>
      <w:sz w:val="18"/>
      <w:szCs w:val="18"/>
    </w:rPr>
  </w:style>
  <w:style w:type="paragraph" w:styleId="13">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character" w:styleId="16">
    <w:name w:val="Hyperlink"/>
    <w:basedOn w:val="15"/>
    <w:unhideWhenUsed/>
    <w:uiPriority w:val="99"/>
    <w:rPr>
      <w:color w:val="0563C1" w:themeColor="hyperlink"/>
      <w:u w:val="single"/>
      <w14:textFill>
        <w14:solidFill>
          <w14:schemeClr w14:val="hlink"/>
        </w14:solidFill>
      </w14:textFill>
    </w:rPr>
  </w:style>
  <w:style w:type="character" w:customStyle="1" w:styleId="17">
    <w:name w:val="页眉 字符"/>
    <w:basedOn w:val="15"/>
    <w:link w:val="13"/>
    <w:qFormat/>
    <w:uiPriority w:val="99"/>
    <w:rPr>
      <w:sz w:val="18"/>
      <w:szCs w:val="18"/>
    </w:rPr>
  </w:style>
  <w:style w:type="character" w:customStyle="1" w:styleId="18">
    <w:name w:val="页脚 字符"/>
    <w:basedOn w:val="15"/>
    <w:link w:val="12"/>
    <w:qFormat/>
    <w:uiPriority w:val="99"/>
    <w:rPr>
      <w:sz w:val="18"/>
      <w:szCs w:val="18"/>
    </w:rPr>
  </w:style>
  <w:style w:type="character" w:customStyle="1" w:styleId="19">
    <w:name w:val="批注框文本 字符"/>
    <w:basedOn w:val="15"/>
    <w:link w:val="11"/>
    <w:semiHidden/>
    <w:qFormat/>
    <w:uiPriority w:val="99"/>
    <w:rPr>
      <w:sz w:val="18"/>
      <w:szCs w:val="18"/>
    </w:rPr>
  </w:style>
  <w:style w:type="character" w:customStyle="1" w:styleId="20">
    <w:name w:val="标题 1 字符"/>
    <w:basedOn w:val="15"/>
    <w:link w:val="2"/>
    <w:qFormat/>
    <w:uiPriority w:val="9"/>
    <w:rPr>
      <w:rFonts w:ascii="Times New Roman" w:hAnsi="Times New Roman" w:eastAsia="宋体"/>
      <w:b/>
      <w:bCs/>
      <w:kern w:val="44"/>
      <w:sz w:val="32"/>
      <w:szCs w:val="44"/>
    </w:rPr>
  </w:style>
  <w:style w:type="character" w:customStyle="1" w:styleId="21">
    <w:name w:val="标题 2 字符"/>
    <w:basedOn w:val="15"/>
    <w:link w:val="3"/>
    <w:qFormat/>
    <w:uiPriority w:val="9"/>
    <w:rPr>
      <w:rFonts w:ascii="Times New Roman" w:hAnsi="Times New Roman" w:eastAsia="宋体" w:cstheme="majorBidi"/>
      <w:b/>
      <w:bCs/>
      <w:sz w:val="30"/>
      <w:szCs w:val="32"/>
    </w:rPr>
  </w:style>
  <w:style w:type="character" w:customStyle="1" w:styleId="22">
    <w:name w:val="标题 3 字符"/>
    <w:basedOn w:val="15"/>
    <w:link w:val="4"/>
    <w:qFormat/>
    <w:uiPriority w:val="9"/>
    <w:rPr>
      <w:rFonts w:ascii="Times New Roman" w:hAnsi="Times New Roman" w:eastAsia="宋体"/>
      <w:b/>
      <w:bCs/>
      <w:sz w:val="28"/>
      <w:szCs w:val="32"/>
    </w:rPr>
  </w:style>
  <w:style w:type="character" w:customStyle="1" w:styleId="23">
    <w:name w:val="标题 4 字符"/>
    <w:basedOn w:val="15"/>
    <w:link w:val="5"/>
    <w:qFormat/>
    <w:uiPriority w:val="9"/>
    <w:rPr>
      <w:rFonts w:ascii="Times New Roman" w:hAnsi="Times New Roman" w:eastAsia="宋体" w:cstheme="majorBidi"/>
      <w:b/>
      <w:bCs/>
      <w:sz w:val="24"/>
      <w:szCs w:val="28"/>
    </w:rPr>
  </w:style>
  <w:style w:type="character" w:customStyle="1" w:styleId="24">
    <w:name w:val="标题 5 字符"/>
    <w:basedOn w:val="15"/>
    <w:link w:val="6"/>
    <w:semiHidden/>
    <w:qFormat/>
    <w:uiPriority w:val="9"/>
    <w:rPr>
      <w:b/>
      <w:bCs/>
      <w:sz w:val="28"/>
      <w:szCs w:val="28"/>
    </w:rPr>
  </w:style>
  <w:style w:type="character" w:customStyle="1" w:styleId="25">
    <w:name w:val="标题 6 字符"/>
    <w:basedOn w:val="15"/>
    <w:link w:val="7"/>
    <w:semiHidden/>
    <w:uiPriority w:val="9"/>
    <w:rPr>
      <w:rFonts w:asciiTheme="majorHAnsi" w:hAnsiTheme="majorHAnsi" w:eastAsiaTheme="majorEastAsia" w:cstheme="majorBidi"/>
      <w:b/>
      <w:bCs/>
      <w:sz w:val="24"/>
      <w:szCs w:val="24"/>
    </w:rPr>
  </w:style>
  <w:style w:type="character" w:customStyle="1" w:styleId="26">
    <w:name w:val="标题 7 字符"/>
    <w:basedOn w:val="15"/>
    <w:link w:val="8"/>
    <w:semiHidden/>
    <w:qFormat/>
    <w:uiPriority w:val="9"/>
    <w:rPr>
      <w:b/>
      <w:bCs/>
      <w:sz w:val="24"/>
      <w:szCs w:val="24"/>
    </w:rPr>
  </w:style>
  <w:style w:type="character" w:customStyle="1" w:styleId="27">
    <w:name w:val="标题 8 字符"/>
    <w:basedOn w:val="15"/>
    <w:link w:val="9"/>
    <w:semiHidden/>
    <w:qFormat/>
    <w:uiPriority w:val="9"/>
    <w:rPr>
      <w:rFonts w:asciiTheme="majorHAnsi" w:hAnsiTheme="majorHAnsi" w:eastAsiaTheme="majorEastAsia" w:cstheme="majorBidi"/>
      <w:sz w:val="24"/>
      <w:szCs w:val="24"/>
    </w:rPr>
  </w:style>
  <w:style w:type="character" w:customStyle="1" w:styleId="28">
    <w:name w:val="标题 9 字符"/>
    <w:basedOn w:val="15"/>
    <w:link w:val="10"/>
    <w:semiHidden/>
    <w:qFormat/>
    <w:uiPriority w:val="9"/>
    <w:rPr>
      <w:rFonts w:asciiTheme="majorHAnsi" w:hAnsiTheme="majorHAnsi" w:eastAsiaTheme="majorEastAsia" w:cstheme="majorBidi"/>
      <w:szCs w:val="21"/>
    </w:rPr>
  </w:style>
  <w:style w:type="character" w:customStyle="1" w:styleId="29">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03F682-11B9-4D86-B436-BB4B6A0AED2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18</Pages>
  <Words>967</Words>
  <Characters>5515</Characters>
  <Lines>45</Lines>
  <Paragraphs>12</Paragraphs>
  <TotalTime>26</TotalTime>
  <ScaleCrop>false</ScaleCrop>
  <LinksUpToDate>false</LinksUpToDate>
  <CharactersWithSpaces>6470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2020-10-16T01:47:00Z</dcterms:created>
  <dc:creator>Administrator</dc:creator>
  <cp:lastModifiedBy>阿诺多罗</cp:lastModifiedBy>
  <dcterms:modified xsi:type="dcterms:W3CDTF">2023-09-28T08:55:28Z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E54327CF8EE1476A8D6766D7C7FDA7D0_13</vt:lpwstr>
  </property>
</Properties>
</file>