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11"/>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11"/>
        <w:rPr>
          <w:rFonts w:ascii="宋体" w:hAnsi="宋体" w:cs="宋体"/>
          <w:sz w:val="24"/>
          <w:szCs w:val="24"/>
        </w:rPr>
      </w:pPr>
    </w:p>
    <w:p>
      <w:pPr>
        <w:pStyle w:val="11"/>
        <w:rPr>
          <w:rFonts w:ascii="宋体" w:hAnsi="宋体" w:cs="宋体"/>
          <w:sz w:val="24"/>
          <w:szCs w:val="24"/>
        </w:rPr>
      </w:pPr>
    </w:p>
    <w:p>
      <w:pPr>
        <w:pStyle w:val="11"/>
        <w:rPr>
          <w:rFonts w:ascii="宋体" w:hAnsi="宋体" w:cs="宋体"/>
          <w:sz w:val="24"/>
          <w:szCs w:val="24"/>
        </w:rPr>
      </w:pPr>
    </w:p>
    <w:p>
      <w:pPr>
        <w:pStyle w:val="11"/>
        <w:rPr>
          <w:rFonts w:ascii="宋体" w:hAnsi="宋体" w:cs="宋体"/>
          <w:sz w:val="24"/>
          <w:szCs w:val="24"/>
        </w:rPr>
      </w:pPr>
    </w:p>
    <w:p>
      <w:pPr>
        <w:pStyle w:val="11"/>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项目名称：南通理工学院</w:t>
      </w:r>
      <w:r>
        <w:rPr>
          <w:rFonts w:hint="eastAsia" w:ascii="宋体" w:hAnsi="宋体" w:cs="宋体"/>
          <w:b/>
          <w:bCs/>
          <w:sz w:val="32"/>
          <w:szCs w:val="32"/>
          <w:lang w:val="en-US" w:eastAsia="zh-CN"/>
        </w:rPr>
        <w:t>人工智能专业综合实践基地招标</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ZCZB2024021</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11"/>
        <w:rPr>
          <w:rFonts w:hint="eastAsia" w:asciiTheme="majorEastAsia" w:hAnsiTheme="majorEastAsia" w:eastAsiaTheme="majorEastAsia" w:cstheme="majorEastAsia"/>
          <w:b/>
          <w:bCs/>
          <w:sz w:val="32"/>
          <w:szCs w:val="32"/>
          <w:highlight w:val="none"/>
        </w:rPr>
      </w:pPr>
      <w:bookmarkStart w:id="54" w:name="_GoBack"/>
      <w:bookmarkEnd w:id="54"/>
    </w:p>
    <w:p>
      <w:pPr>
        <w:pStyle w:val="11"/>
        <w:rPr>
          <w:rFonts w:hint="eastAsia" w:asciiTheme="majorEastAsia" w:hAnsiTheme="majorEastAsia" w:eastAsiaTheme="majorEastAsia" w:cstheme="majorEastAsia"/>
          <w:b/>
          <w:bCs/>
          <w:sz w:val="32"/>
          <w:szCs w:val="32"/>
          <w:highlight w:val="none"/>
        </w:rPr>
      </w:pPr>
    </w:p>
    <w:p>
      <w:pPr>
        <w:pStyle w:val="11"/>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6</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招标公告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人工智能专业综合实践基地</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人工智能专业综合实践基地</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2、</w:t>
      </w:r>
      <w:r>
        <w:rPr>
          <w:rFonts w:hint="eastAsia" w:ascii="宋体" w:hAnsi="宋体" w:cs="宋体"/>
          <w:sz w:val="24"/>
          <w:szCs w:val="24"/>
          <w:lang w:val="en-US" w:eastAsia="zh-CN"/>
        </w:rPr>
        <w:t>实训地点：南通理工学院校内或企业实训基地（江苏省内）</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3、实训对象：人工智能专业21级学生，共94人。</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4、培训时间：8周</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5、实训批次：</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第一批专业综合实践时间段：2024年7月1日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2024年8月31日；</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第二批专业综合实践时间段：2025年1月1日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2025年2月28日。</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（按照学生自愿、学院统筹的方式选择专业综合实践批次）</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6、师资配备：</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每批次每门课程至少2位主讲教师、1位班主任、1位就业导师。</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7、实训基地配套设施：</w:t>
      </w:r>
    </w:p>
    <w:p>
      <w:pPr>
        <w:spacing w:line="360" w:lineRule="exact"/>
        <w:ind w:left="-1"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实训基地需具有良好的教学环境，阅读室、教室等配套设施完善。提供宿舍，</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"https://www.dxsbb.com/news/list_79.html" \t "_blank"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书</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桌、衣柜、空调、热水器、独立卫浴等生活设施齐全。交通便利。</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keepNext w:val="0"/>
        <w:keepLines w:val="0"/>
        <w:pageBreakBefore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8"/>
          <w:sz w:val="24"/>
          <w:szCs w:val="24"/>
          <w:shd w:val="clear" w:fill="FFFFFF"/>
        </w:rPr>
        <w:t>供应商必须具有开展学生社会实践活动的资质，以市场监督管理局登记经营范围或供应商提供地级市教育主管部门（教育局）的批复为准</w:t>
      </w:r>
      <w:r>
        <w:rPr>
          <w:rFonts w:hint="eastAsia" w:ascii="宋体" w:hAnsi="宋体" w:eastAsia="宋体" w:cs="宋体"/>
          <w:color w:val="auto"/>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r>
        <w:rPr>
          <w:rFonts w:hint="eastAsia" w:ascii="宋体" w:hAnsi="宋体" w:eastAsia="宋体" w:cs="宋体"/>
          <w:color w:val="auto"/>
          <w:kern w:val="2"/>
          <w:sz w:val="24"/>
          <w:szCs w:val="24"/>
          <w:lang w:val="en-US" w:eastAsia="zh-CN" w:bidi="ar-SA"/>
        </w:rPr>
        <w:t>针对本次实践活动，投标单位需制定全面的安全工作方案和安全应急预案。若活动中发生不可预测事情，由活动承办方负责处理。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4、与学校签订活动合同的供应商不得转让或分包相关业务，不能与其他公司联合投标。</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、供应商不得存在下列情况之一</w:t>
      </w:r>
      <w:r>
        <w:rPr>
          <w:rFonts w:hint="eastAsia" w:ascii="宋体" w:hAnsi="宋体" w:eastAsia="宋体" w:cs="宋体"/>
          <w:color w:val="auto"/>
          <w:sz w:val="24"/>
          <w:szCs w:val="24"/>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200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17</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6</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6"/>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6"/>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w:t>
      </w:r>
      <w:r>
        <w:rPr>
          <w:rFonts w:hint="eastAsia" w:ascii="黑体" w:hAnsi="黑体" w:eastAsia="黑体" w:cs="黑体"/>
          <w:b/>
          <w:bCs/>
          <w:kern w:val="2"/>
          <w:sz w:val="24"/>
          <w:szCs w:val="24"/>
          <w:lang w:val="en-US" w:eastAsia="zh-CN"/>
        </w:rPr>
        <w:t>陈老师18962943035</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6"/>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11"/>
        <w:rPr>
          <w:rFonts w:ascii="宋体" w:hAnsi="宋体"/>
          <w:b/>
          <w:bCs/>
          <w:sz w:val="30"/>
          <w:szCs w:val="30"/>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pStyle w:val="7"/>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w:t>
      </w:r>
      <w:r>
        <w:rPr>
          <w:rFonts w:hint="eastAsia"/>
          <w:sz w:val="24"/>
          <w:lang w:val="en-US" w:eastAsia="zh-CN"/>
        </w:rPr>
        <w:t>企业</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0" w:firstLineChars="200"/>
        <w:rPr>
          <w:rFonts w:hint="eastAsia"/>
          <w:sz w:val="24"/>
        </w:rPr>
      </w:pPr>
      <w:r>
        <w:rPr>
          <w:rFonts w:hint="eastAsia"/>
          <w:sz w:val="24"/>
        </w:rPr>
        <w:t>2.1. 投标文件的语言</w:t>
      </w:r>
    </w:p>
    <w:p>
      <w:pPr>
        <w:spacing w:line="360" w:lineRule="auto"/>
        <w:ind w:firstLine="480" w:firstLineChars="200"/>
        <w:rPr>
          <w:rFonts w:hint="eastAsia"/>
          <w:sz w:val="24"/>
        </w:rPr>
      </w:pPr>
      <w:r>
        <w:rPr>
          <w:rFonts w:hint="eastAsia"/>
          <w:sz w:val="24"/>
        </w:rPr>
        <w:t>（1）投标文件及来往函件均应使用中文。</w:t>
      </w:r>
    </w:p>
    <w:p>
      <w:pPr>
        <w:spacing w:line="360" w:lineRule="auto"/>
        <w:ind w:firstLine="480" w:firstLineChars="200"/>
        <w:rPr>
          <w:rFonts w:hint="eastAsia"/>
          <w:color w:val="auto"/>
          <w:sz w:val="24"/>
          <w:lang w:val="en-US" w:eastAsia="zh-CN"/>
        </w:rPr>
      </w:pPr>
      <w:r>
        <w:rPr>
          <w:rFonts w:hint="eastAsia"/>
          <w:color w:val="auto"/>
          <w:sz w:val="24"/>
        </w:rPr>
        <w:t>（2）</w:t>
      </w:r>
      <w:r>
        <w:rPr>
          <w:rFonts w:hint="eastAsia"/>
          <w:color w:val="auto"/>
          <w:sz w:val="24"/>
          <w:lang w:val="en-US" w:eastAsia="zh-CN"/>
        </w:rPr>
        <w:t>投标文件要求：</w:t>
      </w:r>
    </w:p>
    <w:p>
      <w:pPr>
        <w:spacing w:line="360" w:lineRule="auto"/>
        <w:ind w:firstLine="480" w:firstLineChars="200"/>
        <w:rPr>
          <w:rFonts w:hint="eastAsia"/>
          <w:color w:val="auto"/>
          <w:sz w:val="24"/>
          <w:lang w:val="en-US"/>
        </w:rPr>
      </w:pPr>
      <w:r>
        <w:rPr>
          <w:rFonts w:hint="eastAsia"/>
          <w:color w:val="auto"/>
          <w:sz w:val="24"/>
          <w:lang w:val="en-US" w:eastAsia="zh-CN"/>
        </w:rPr>
        <w:t>需包含实训地点、师资配备（包括资质证明）、实施方案、住宿条件、过程管理的相关制度、推荐就业等内容。</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spacing w:line="360" w:lineRule="auto"/>
        <w:ind w:firstLine="480" w:firstLineChars="200"/>
        <w:rPr>
          <w:rFonts w:hint="eastAsia"/>
          <w:sz w:val="24"/>
          <w:lang w:val="en-US" w:eastAsia="zh-CN"/>
        </w:rPr>
      </w:pPr>
      <w:r>
        <w:rPr>
          <w:rFonts w:hint="eastAsia"/>
          <w:sz w:val="24"/>
          <w:lang w:val="en-US" w:eastAsia="zh-CN"/>
        </w:rPr>
        <w:t>三、投标文件内容</w:t>
      </w:r>
    </w:p>
    <w:p>
      <w:pPr>
        <w:spacing w:line="360" w:lineRule="auto"/>
        <w:ind w:firstLine="480" w:firstLineChars="200"/>
        <w:rPr>
          <w:rFonts w:hint="eastAsia"/>
          <w:color w:val="auto"/>
          <w:sz w:val="24"/>
          <w:lang w:val="en-US" w:eastAsia="zh-CN"/>
        </w:rPr>
      </w:pPr>
      <w:r>
        <w:rPr>
          <w:rFonts w:hint="eastAsia"/>
          <w:color w:val="auto"/>
          <w:sz w:val="24"/>
          <w:lang w:val="en-US" w:eastAsia="zh-CN"/>
        </w:rPr>
        <w:t>1.投标函。</w:t>
      </w:r>
    </w:p>
    <w:p>
      <w:pPr>
        <w:spacing w:line="360" w:lineRule="auto"/>
        <w:ind w:firstLine="480" w:firstLineChars="200"/>
        <w:rPr>
          <w:rFonts w:hint="eastAsia"/>
          <w:color w:val="auto"/>
          <w:sz w:val="24"/>
          <w:lang w:val="en-US" w:eastAsia="zh-CN"/>
        </w:rPr>
      </w:pPr>
      <w:r>
        <w:rPr>
          <w:rFonts w:hint="eastAsia"/>
          <w:color w:val="auto"/>
          <w:sz w:val="24"/>
          <w:lang w:val="en-US" w:eastAsia="zh-CN"/>
        </w:rPr>
        <w:t>2.法人证明书。</w:t>
      </w:r>
    </w:p>
    <w:p>
      <w:pPr>
        <w:spacing w:line="360" w:lineRule="auto"/>
        <w:ind w:firstLine="480" w:firstLineChars="200"/>
        <w:rPr>
          <w:rFonts w:hint="eastAsia"/>
          <w:color w:val="auto"/>
          <w:sz w:val="24"/>
          <w:lang w:val="en-US" w:eastAsia="zh-CN"/>
        </w:rPr>
      </w:pPr>
      <w:r>
        <w:rPr>
          <w:rFonts w:hint="eastAsia"/>
          <w:color w:val="auto"/>
          <w:sz w:val="24"/>
          <w:lang w:val="en-US" w:eastAsia="zh-CN"/>
        </w:rPr>
        <w:t>3.法人授权书。</w:t>
      </w:r>
    </w:p>
    <w:p>
      <w:pPr>
        <w:spacing w:line="360" w:lineRule="auto"/>
        <w:ind w:firstLine="480" w:firstLineChars="200"/>
        <w:rPr>
          <w:rFonts w:hint="eastAsia"/>
          <w:color w:val="auto"/>
          <w:sz w:val="24"/>
          <w:lang w:val="en-US" w:eastAsia="zh-CN"/>
        </w:rPr>
      </w:pPr>
      <w:r>
        <w:rPr>
          <w:rFonts w:hint="eastAsia"/>
          <w:color w:val="auto"/>
          <w:sz w:val="24"/>
          <w:lang w:val="en-US" w:eastAsia="zh-CN"/>
        </w:rPr>
        <w:t>4.投标人资质要求文件。</w:t>
      </w:r>
    </w:p>
    <w:p>
      <w:pPr>
        <w:spacing w:line="360" w:lineRule="auto"/>
        <w:ind w:firstLine="480" w:firstLineChars="200"/>
        <w:rPr>
          <w:rFonts w:hint="eastAsia"/>
          <w:color w:val="auto"/>
          <w:sz w:val="24"/>
          <w:lang w:val="en-US" w:eastAsia="zh-CN"/>
        </w:rPr>
      </w:pPr>
      <w:r>
        <w:rPr>
          <w:rFonts w:hint="eastAsia"/>
          <w:color w:val="auto"/>
          <w:sz w:val="24"/>
          <w:lang w:val="en-US" w:eastAsia="zh-CN"/>
        </w:rPr>
        <w:t>5.公司实力、组织经验、师资力量等方面提供相应资料。</w:t>
      </w:r>
    </w:p>
    <w:p>
      <w:pPr>
        <w:spacing w:line="360" w:lineRule="auto"/>
        <w:ind w:firstLine="480" w:firstLineChars="200"/>
        <w:rPr>
          <w:rFonts w:hint="eastAsia"/>
          <w:color w:val="auto"/>
          <w:sz w:val="24"/>
          <w:lang w:val="en-US" w:eastAsia="zh-CN"/>
        </w:rPr>
      </w:pPr>
      <w:r>
        <w:rPr>
          <w:rFonts w:hint="eastAsia"/>
          <w:color w:val="auto"/>
          <w:sz w:val="24"/>
          <w:lang w:val="en-US" w:eastAsia="zh-CN"/>
        </w:rPr>
        <w:t>6.投标方案，研学课程设置，并提供具体的研学任务内容。</w:t>
      </w:r>
    </w:p>
    <w:p>
      <w:pPr>
        <w:spacing w:line="360" w:lineRule="auto"/>
        <w:ind w:firstLine="480" w:firstLineChars="200"/>
        <w:rPr>
          <w:rFonts w:hint="eastAsia"/>
          <w:color w:val="auto"/>
          <w:sz w:val="24"/>
          <w:lang w:val="en-US" w:eastAsia="zh-CN"/>
        </w:rPr>
      </w:pPr>
      <w:r>
        <w:rPr>
          <w:rFonts w:hint="eastAsia"/>
          <w:color w:val="auto"/>
          <w:sz w:val="24"/>
          <w:lang w:val="en-US" w:eastAsia="zh-CN"/>
        </w:rPr>
        <w:t>7.报价表，需针对各收费项目及金额进行详细说明。</w:t>
      </w:r>
    </w:p>
    <w:p>
      <w:pPr>
        <w:spacing w:line="360" w:lineRule="auto"/>
        <w:ind w:firstLine="480" w:firstLineChars="200"/>
        <w:rPr>
          <w:rFonts w:hint="eastAsia"/>
          <w:color w:val="auto"/>
          <w:sz w:val="24"/>
          <w:lang w:val="en-US" w:eastAsia="zh-CN"/>
        </w:rPr>
      </w:pPr>
      <w:r>
        <w:rPr>
          <w:rFonts w:hint="eastAsia"/>
          <w:color w:val="auto"/>
          <w:sz w:val="24"/>
          <w:lang w:val="en-US" w:eastAsia="zh-CN"/>
        </w:rPr>
        <w:t>8.针对活动制定的安全保障方案及应急预案。</w:t>
      </w:r>
    </w:p>
    <w:p>
      <w:pPr>
        <w:spacing w:line="360" w:lineRule="auto"/>
        <w:ind w:firstLine="480" w:firstLineChars="200"/>
        <w:rPr>
          <w:rFonts w:hint="eastAsia"/>
          <w:color w:val="auto"/>
          <w:sz w:val="24"/>
          <w:lang w:val="en-US" w:eastAsia="zh-CN"/>
        </w:rPr>
      </w:pPr>
      <w:r>
        <w:rPr>
          <w:rFonts w:hint="eastAsia"/>
          <w:color w:val="auto"/>
          <w:sz w:val="24"/>
          <w:lang w:val="en-US" w:eastAsia="zh-CN"/>
        </w:rPr>
        <w:t>9.成功案例5个或5个以上。</w:t>
      </w:r>
    </w:p>
    <w:p>
      <w:pPr>
        <w:spacing w:line="360" w:lineRule="auto"/>
        <w:ind w:firstLine="480" w:firstLineChars="200"/>
        <w:rPr>
          <w:rFonts w:hint="eastAsia"/>
          <w:color w:val="auto"/>
          <w:sz w:val="24"/>
          <w:lang w:val="en-US" w:eastAsia="zh-CN"/>
        </w:rPr>
      </w:pPr>
      <w:r>
        <w:rPr>
          <w:rFonts w:hint="eastAsia"/>
          <w:color w:val="auto"/>
          <w:sz w:val="24"/>
          <w:lang w:val="en-US" w:eastAsia="zh-CN"/>
        </w:rPr>
        <w:t>10学生活动组织人员无犯罪证明及安全管理人员和辅导员资质证书。</w:t>
      </w:r>
    </w:p>
    <w:p>
      <w:pPr>
        <w:spacing w:line="360" w:lineRule="auto"/>
        <w:ind w:firstLine="480" w:firstLineChars="200"/>
        <w:rPr>
          <w:rFonts w:hint="eastAsia"/>
          <w:color w:val="auto"/>
          <w:sz w:val="24"/>
          <w:lang w:val="en-US" w:eastAsia="zh-CN"/>
        </w:rPr>
      </w:pPr>
      <w:r>
        <w:rPr>
          <w:rFonts w:hint="eastAsia"/>
          <w:color w:val="auto"/>
          <w:sz w:val="24"/>
          <w:lang w:val="en-US" w:eastAsia="zh-CN"/>
        </w:rPr>
        <w:t>11.涉及活动交通、饮水、用餐等事宜的服务单位，投标人必须提供各合作单位的有效证件。</w:t>
      </w:r>
    </w:p>
    <w:p>
      <w:pPr>
        <w:spacing w:line="360" w:lineRule="auto"/>
        <w:ind w:firstLine="480" w:firstLineChars="200"/>
        <w:rPr>
          <w:rFonts w:hint="eastAsia"/>
          <w:color w:val="auto"/>
          <w:sz w:val="24"/>
          <w:lang w:val="en-US" w:eastAsia="zh-CN"/>
        </w:rPr>
      </w:pPr>
      <w:r>
        <w:rPr>
          <w:rFonts w:hint="eastAsia"/>
          <w:color w:val="auto"/>
          <w:sz w:val="24"/>
          <w:lang w:val="en-US" w:eastAsia="zh-CN"/>
        </w:rPr>
        <w:t>12.投标人认为需要提供的资料。</w:t>
      </w:r>
    </w:p>
    <w:p>
      <w:pPr>
        <w:spacing w:line="360" w:lineRule="auto"/>
        <w:ind w:firstLine="480" w:firstLineChars="200"/>
        <w:rPr>
          <w:rFonts w:hint="eastAsia"/>
          <w:color w:val="auto"/>
          <w:sz w:val="24"/>
          <w:lang w:val="en-US" w:eastAsia="zh-CN"/>
        </w:rPr>
      </w:pPr>
      <w:r>
        <w:rPr>
          <w:rFonts w:hint="eastAsia"/>
          <w:color w:val="auto"/>
          <w:sz w:val="24"/>
          <w:lang w:val="en-US" w:eastAsia="zh-CN"/>
        </w:rPr>
        <w:t>（以上资料按顺序装订成册，资质证明文件必须加盖公章，密封装袋。）</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投标报价</w:t>
      </w:r>
    </w:p>
    <w:p>
      <w:pPr>
        <w:spacing w:line="360" w:lineRule="auto"/>
        <w:ind w:firstLine="470" w:firstLineChars="196"/>
        <w:rPr>
          <w:b/>
          <w:color w:val="1414FE"/>
          <w:sz w:val="24"/>
        </w:rPr>
      </w:pPr>
      <w:r>
        <w:rPr>
          <w:rFonts w:hint="eastAsia" w:ascii="宋体" w:hAnsi="宋体" w:eastAsia="宋体" w:cs="宋体"/>
          <w:i w:val="0"/>
          <w:iCs w:val="0"/>
          <w:caps w:val="0"/>
          <w:color w:val="1414FE"/>
          <w:spacing w:val="0"/>
          <w:sz w:val="24"/>
          <w:szCs w:val="24"/>
          <w:shd w:val="clear" w:fill="FFFFFF"/>
        </w:rPr>
        <w:t>综合报价：按</w:t>
      </w:r>
      <w:r>
        <w:rPr>
          <w:rFonts w:hint="eastAsia" w:ascii="宋体" w:hAnsi="宋体" w:cs="宋体"/>
          <w:i w:val="0"/>
          <w:iCs w:val="0"/>
          <w:caps w:val="0"/>
          <w:color w:val="1414FE"/>
          <w:spacing w:val="0"/>
          <w:sz w:val="24"/>
          <w:szCs w:val="24"/>
          <w:shd w:val="clear" w:fill="FFFFFF"/>
          <w:lang w:val="en-US" w:eastAsia="zh-CN"/>
        </w:rPr>
        <w:t>94</w:t>
      </w:r>
      <w:r>
        <w:rPr>
          <w:rFonts w:hint="eastAsia" w:ascii="宋体" w:hAnsi="宋体" w:eastAsia="宋体" w:cs="宋体"/>
          <w:i w:val="0"/>
          <w:iCs w:val="0"/>
          <w:caps w:val="0"/>
          <w:color w:val="1414FE"/>
          <w:spacing w:val="0"/>
          <w:sz w:val="24"/>
          <w:szCs w:val="24"/>
          <w:shd w:val="clear" w:fill="FFFFFF"/>
        </w:rPr>
        <w:t>个学生报价。</w:t>
      </w:r>
    </w:p>
    <w:p>
      <w:pPr>
        <w:spacing w:line="360" w:lineRule="auto"/>
        <w:ind w:firstLine="482" w:firstLineChars="200"/>
        <w:rPr>
          <w:b/>
          <w:sz w:val="24"/>
        </w:rPr>
      </w:pPr>
      <w:r>
        <w:rPr>
          <w:b/>
          <w:sz w:val="24"/>
        </w:rPr>
        <w:t xml:space="preserve">3.2.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 xml:space="preserve">3.3. </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3.4.</w:t>
      </w:r>
      <w:r>
        <w:rPr>
          <w:rFonts w:hint="eastAsia"/>
          <w:sz w:val="24"/>
        </w:rPr>
        <w:t>投标有效期</w:t>
      </w:r>
    </w:p>
    <w:p>
      <w:pPr>
        <w:spacing w:line="360" w:lineRule="auto"/>
        <w:ind w:firstLine="470" w:firstLineChars="196"/>
        <w:rPr>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5</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w:t>
      </w:r>
      <w:r>
        <w:rPr>
          <w:rFonts w:hint="eastAsia"/>
          <w:sz w:val="24"/>
          <w:lang w:eastAsia="zh-CN"/>
        </w:rPr>
        <w:t>作出</w:t>
      </w:r>
      <w:r>
        <w:rPr>
          <w:rFonts w:hint="eastAsia"/>
          <w:sz w:val="24"/>
        </w:rPr>
        <w:t>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rFonts w:hint="eastAsia"/>
          <w:color w:val="auto"/>
          <w:sz w:val="24"/>
        </w:rPr>
      </w:pPr>
      <w:r>
        <w:rPr>
          <w:b/>
          <w:color w:val="auto"/>
          <w:sz w:val="24"/>
        </w:rPr>
        <w:t>4</w:t>
      </w:r>
      <w:r>
        <w:rPr>
          <w:rFonts w:hint="eastAsia"/>
          <w:b/>
          <w:color w:val="auto"/>
          <w:sz w:val="24"/>
          <w:lang w:val="en-US" w:eastAsia="zh-CN"/>
        </w:rPr>
        <w:t>.6</w:t>
      </w:r>
      <w:r>
        <w:rPr>
          <w:b/>
          <w:color w:val="auto"/>
          <w:sz w:val="24"/>
        </w:rPr>
        <w:t xml:space="preserve">. </w:t>
      </w:r>
      <w:r>
        <w:rPr>
          <w:rFonts w:hint="eastAsia"/>
          <w:color w:val="auto"/>
          <w:sz w:val="24"/>
        </w:rPr>
        <w:t>评标小组将按照同等价格比质量、同等质量比价格的原则，综合衡量投标方的资质、实力、信誉、业绩、市场影响、服务质量、保障措施的完善度）等进行评分，根据综合得分，最高分为招标项目的中标单位。</w:t>
      </w:r>
    </w:p>
    <w:p>
      <w:pPr>
        <w:spacing w:line="353" w:lineRule="auto"/>
        <w:ind w:firstLine="482" w:firstLineChars="200"/>
        <w:rPr>
          <w:b/>
          <w:sz w:val="24"/>
        </w:rPr>
      </w:pPr>
      <w:r>
        <w:rPr>
          <w:rFonts w:hint="eastAsia"/>
          <w:b/>
          <w:sz w:val="24"/>
        </w:rPr>
        <w:t>五、评标方法及评分标准</w:t>
      </w:r>
    </w:p>
    <w:tbl>
      <w:tblPr>
        <w:tblStyle w:val="8"/>
        <w:tblW w:w="53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711"/>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bookmarkStart w:id="0" w:name="_Toc149568598"/>
            <w:r>
              <w:rPr>
                <w:rFonts w:hint="eastAsia" w:ascii="宋体" w:hAnsi="宋体"/>
                <w:b/>
                <w:color w:val="000000" w:themeColor="text1"/>
                <w:szCs w:val="21"/>
                <w14:textFill>
                  <w14:solidFill>
                    <w14:schemeClr w14:val="tx1"/>
                  </w14:solidFill>
                </w14:textFill>
              </w:rPr>
              <w:t>评审因素</w:t>
            </w:r>
          </w:p>
        </w:tc>
        <w:tc>
          <w:tcPr>
            <w:tcW w:w="3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37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3734"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培训方案</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default"/>
                <w:szCs w:val="21"/>
                <w:lang w:val="en-US" w:eastAsia="zh-CN"/>
              </w:rPr>
            </w:pPr>
            <w:r>
              <w:rPr>
                <w:rFonts w:hint="eastAsia"/>
                <w:szCs w:val="21"/>
                <w:lang w:val="en-US" w:eastAsia="zh-CN"/>
              </w:rPr>
              <w:t>15</w:t>
            </w:r>
          </w:p>
        </w:tc>
        <w:tc>
          <w:tcPr>
            <w:tcW w:w="373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bCs/>
                <w:color w:val="auto"/>
                <w:kern w:val="2"/>
                <w:sz w:val="21"/>
                <w:szCs w:val="21"/>
                <w:lang w:val="en-US" w:eastAsia="zh-CN" w:bidi="ar-SA"/>
              </w:rPr>
            </w:pPr>
            <w:r>
              <w:rPr>
                <w:rFonts w:hint="eastAsia" w:ascii="宋体" w:hAnsi="宋体" w:cs="宋体"/>
                <w:color w:val="auto"/>
                <w:sz w:val="21"/>
                <w:szCs w:val="21"/>
                <w:lang w:val="en-US" w:eastAsia="zh-CN"/>
              </w:rPr>
              <w:t>投标人提出具体方案，根据各投标人的方案进行横向对比，优得11—15分，良好得6—10分，一般得1—5分。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en-US" w:eastAsia="zh-CN"/>
              </w:rPr>
              <w:t>安全保障</w:t>
            </w:r>
          </w:p>
          <w:p>
            <w:pPr>
              <w:spacing w:line="36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en-US" w:eastAsia="zh-CN"/>
              </w:rPr>
              <w:t>与应急预案</w:t>
            </w:r>
          </w:p>
          <w:p>
            <w:pPr>
              <w:spacing w:line="360" w:lineRule="auto"/>
              <w:jc w:val="center"/>
              <w:rPr>
                <w:rFonts w:hint="eastAsia" w:ascii="宋体" w:hAnsi="宋体" w:eastAsia="宋体" w:cs="宋体"/>
                <w:color w:val="auto"/>
                <w:kern w:val="2"/>
                <w:sz w:val="21"/>
                <w:szCs w:val="21"/>
                <w:lang w:val="zh-TW" w:eastAsia="zh-TW" w:bidi="ar-SA"/>
              </w:rPr>
            </w:pP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r>
              <w:rPr>
                <w:rFonts w:hint="eastAsia"/>
                <w:szCs w:val="21"/>
                <w:lang w:val="en-US" w:eastAsia="zh-CN"/>
              </w:rPr>
              <w:t>15</w:t>
            </w:r>
          </w:p>
        </w:tc>
        <w:tc>
          <w:tcPr>
            <w:tcW w:w="37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投标人提出具体方案，根据各投标人的方案进行横向对比，优得11—15分，良好得6—10分，一般得1—5分。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 w:val="21"/>
                <w:szCs w:val="21"/>
                <w:lang w:val="en-US" w:eastAsia="zh-CN"/>
              </w:rPr>
              <w:t>交通、餐饮</w:t>
            </w:r>
            <w:r>
              <w:rPr>
                <w:rFonts w:hint="eastAsia" w:ascii="宋体" w:hAnsi="宋体" w:cs="宋体"/>
                <w:color w:val="auto"/>
                <w:sz w:val="21"/>
                <w:szCs w:val="21"/>
                <w:lang w:val="en-US" w:eastAsia="zh-CN"/>
              </w:rPr>
              <w:t>、住宿</w:t>
            </w:r>
            <w:r>
              <w:rPr>
                <w:rFonts w:hint="eastAsia" w:ascii="宋体" w:hAnsi="宋体" w:eastAsia="宋体" w:cs="宋体"/>
                <w:color w:val="auto"/>
                <w:sz w:val="21"/>
                <w:szCs w:val="21"/>
                <w:lang w:val="en-US" w:eastAsia="zh-CN"/>
              </w:rPr>
              <w:t>等物资保障</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default"/>
                <w:szCs w:val="21"/>
                <w:lang w:val="en-US" w:eastAsia="zh-CN"/>
              </w:rPr>
            </w:pPr>
            <w:r>
              <w:rPr>
                <w:rFonts w:hint="eastAsia"/>
                <w:szCs w:val="21"/>
                <w:lang w:val="en-US" w:eastAsia="zh-CN"/>
              </w:rPr>
              <w:t>15</w:t>
            </w:r>
          </w:p>
        </w:tc>
        <w:tc>
          <w:tcPr>
            <w:tcW w:w="37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zh-TW" w:eastAsia="zh-TW" w:bidi="ar-SA"/>
              </w:rPr>
            </w:pPr>
            <w:r>
              <w:rPr>
                <w:rFonts w:hint="eastAsia" w:ascii="宋体" w:hAnsi="宋体" w:cs="宋体"/>
                <w:color w:val="auto"/>
                <w:sz w:val="21"/>
                <w:szCs w:val="21"/>
                <w:lang w:val="en-US" w:eastAsia="zh-CN"/>
              </w:rPr>
              <w:t>投标人提出具体方案，根据各投标人的方案进行横向对比，优得11—15分，良好得6—10分，一般得1—5分。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TW" w:eastAsia="zh-TW"/>
              </w:rPr>
              <w:t>企业资质</w:t>
            </w:r>
            <w:r>
              <w:rPr>
                <w:rFonts w:hint="eastAsia" w:ascii="宋体" w:hAnsi="宋体" w:cs="宋体"/>
                <w:color w:val="auto"/>
                <w:sz w:val="21"/>
                <w:szCs w:val="21"/>
                <w:lang w:val="en-US" w:eastAsia="zh-CN"/>
              </w:rPr>
              <w:t>和规模</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default"/>
                <w:szCs w:val="21"/>
                <w:lang w:val="en-US" w:eastAsia="zh-CN"/>
              </w:rPr>
            </w:pPr>
            <w:r>
              <w:rPr>
                <w:rFonts w:hint="eastAsia"/>
                <w:szCs w:val="21"/>
                <w:lang w:val="en-US" w:eastAsia="zh-CN"/>
              </w:rPr>
              <w:t>10</w:t>
            </w:r>
          </w:p>
        </w:tc>
        <w:tc>
          <w:tcPr>
            <w:tcW w:w="3734"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color w:val="auto"/>
                <w:szCs w:val="21"/>
                <w:lang w:val="en-US" w:eastAsia="zh-CN"/>
              </w:rPr>
            </w:pPr>
            <w:r>
              <w:rPr>
                <w:rFonts w:hint="eastAsia"/>
                <w:color w:val="auto"/>
                <w:szCs w:val="21"/>
              </w:rPr>
              <w:t>投标人应具有</w:t>
            </w:r>
            <w:r>
              <w:rPr>
                <w:rFonts w:hint="eastAsia"/>
                <w:color w:val="auto"/>
                <w:szCs w:val="21"/>
                <w:lang w:val="en-US" w:eastAsia="zh-CN"/>
              </w:rPr>
              <w:t>相应资质</w:t>
            </w:r>
            <w:r>
              <w:rPr>
                <w:rFonts w:hint="eastAsia"/>
                <w:color w:val="auto"/>
                <w:szCs w:val="21"/>
              </w:rPr>
              <w:t>。提供</w:t>
            </w:r>
            <w:r>
              <w:rPr>
                <w:rFonts w:hint="eastAsia"/>
                <w:color w:val="auto"/>
                <w:szCs w:val="21"/>
                <w:lang w:val="en-US" w:eastAsia="zh-CN"/>
              </w:rPr>
              <w:t>一项</w:t>
            </w:r>
            <w:r>
              <w:rPr>
                <w:rFonts w:hint="eastAsia"/>
                <w:color w:val="auto"/>
                <w:szCs w:val="21"/>
              </w:rPr>
              <w:t>得1分，未提供不得分。 需提供有关证书复印件并加盖公章。</w:t>
            </w:r>
            <w:r>
              <w:rPr>
                <w:rFonts w:hint="eastAsia"/>
                <w:color w:val="auto"/>
                <w:szCs w:val="21"/>
                <w:lang w:val="en-US" w:eastAsia="zh-CN"/>
              </w:rPr>
              <w:t>最多得5分。根据投标人规模和实力进行横向对比，</w:t>
            </w:r>
            <w:r>
              <w:rPr>
                <w:rFonts w:hint="eastAsia" w:ascii="宋体" w:hAnsi="宋体" w:cs="宋体"/>
                <w:color w:val="auto"/>
                <w:sz w:val="21"/>
                <w:szCs w:val="21"/>
                <w:lang w:val="en-US" w:eastAsia="zh-CN"/>
              </w:rPr>
              <w:t>优得5分，良好得3—4分，一般得1—2分。</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r>
              <w:rPr>
                <w:rFonts w:hint="eastAsia"/>
                <w:szCs w:val="21"/>
                <w:lang w:val="en-US" w:eastAsia="zh-CN"/>
              </w:rPr>
              <w:t>5</w:t>
            </w:r>
          </w:p>
        </w:tc>
        <w:tc>
          <w:tcPr>
            <w:tcW w:w="37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1"/>
                <w:szCs w:val="21"/>
              </w:rPr>
            </w:pPr>
            <w:r>
              <w:rPr>
                <w:rFonts w:hint="eastAsia"/>
                <w:color w:val="auto"/>
                <w:szCs w:val="21"/>
                <w:lang w:val="zh-TW" w:eastAsia="zh-TW"/>
              </w:rPr>
              <w:t>根据投标人</w:t>
            </w:r>
            <w:r>
              <w:rPr>
                <w:rFonts w:hint="eastAsia"/>
                <w:color w:val="auto"/>
                <w:szCs w:val="21"/>
              </w:rPr>
              <w:t>202</w:t>
            </w:r>
            <w:r>
              <w:rPr>
                <w:rFonts w:hint="eastAsia"/>
                <w:color w:val="auto"/>
                <w:szCs w:val="21"/>
                <w:lang w:val="en-US" w:eastAsia="zh-CN"/>
              </w:rPr>
              <w:t>1</w:t>
            </w:r>
            <w:r>
              <w:rPr>
                <w:rFonts w:hint="eastAsia"/>
                <w:color w:val="auto"/>
                <w:szCs w:val="21"/>
                <w:lang w:val="zh-TW" w:eastAsia="zh-TW"/>
              </w:rPr>
              <w:t>年</w:t>
            </w:r>
            <w:r>
              <w:rPr>
                <w:rFonts w:hint="eastAsia"/>
                <w:color w:val="auto"/>
                <w:szCs w:val="21"/>
              </w:rPr>
              <w:t>1</w:t>
            </w:r>
            <w:r>
              <w:rPr>
                <w:rFonts w:hint="eastAsia"/>
                <w:color w:val="auto"/>
                <w:szCs w:val="21"/>
                <w:lang w:val="zh-TW" w:eastAsia="zh-TW"/>
              </w:rPr>
              <w:t>月</w:t>
            </w:r>
            <w:r>
              <w:rPr>
                <w:rFonts w:hint="eastAsia"/>
                <w:color w:val="auto"/>
                <w:szCs w:val="21"/>
                <w:lang w:val="zh-TW"/>
              </w:rPr>
              <w:t>1日</w:t>
            </w:r>
            <w:r>
              <w:rPr>
                <w:rFonts w:hint="eastAsia"/>
                <w:color w:val="auto"/>
                <w:szCs w:val="21"/>
                <w:lang w:val="zh-TW" w:eastAsia="zh-TW"/>
              </w:rPr>
              <w:t>以来与本次投标产品相似的同类</w:t>
            </w:r>
            <w:r>
              <w:rPr>
                <w:rFonts w:hint="eastAsia"/>
                <w:color w:val="auto"/>
                <w:szCs w:val="21"/>
                <w:lang w:val="en-US" w:eastAsia="zh-CN"/>
              </w:rPr>
              <w:t>服务合同，</w:t>
            </w:r>
            <w:r>
              <w:rPr>
                <w:rFonts w:hint="eastAsia"/>
                <w:color w:val="auto"/>
                <w:szCs w:val="21"/>
                <w:lang w:val="zh-TW" w:eastAsia="zh-TW"/>
              </w:rPr>
              <w:t>评分（以提供的销售合同复印件为准，合同中不得隐去任何内容，否则无效，</w:t>
            </w:r>
            <w:r>
              <w:rPr>
                <w:rFonts w:hint="eastAsia" w:ascii="黑体" w:hAnsi="黑体" w:eastAsia="黑体" w:cs="黑体"/>
                <w:b/>
                <w:bCs/>
                <w:color w:val="auto"/>
                <w:szCs w:val="21"/>
                <w:lang w:val="zh-TW" w:eastAsia="zh-TW"/>
              </w:rPr>
              <w:t>每份</w:t>
            </w:r>
            <w:r>
              <w:rPr>
                <w:rFonts w:hint="eastAsia" w:ascii="黑体" w:hAnsi="黑体" w:eastAsia="黑体" w:cs="黑体"/>
                <w:b/>
                <w:bCs/>
                <w:color w:val="auto"/>
                <w:szCs w:val="21"/>
              </w:rPr>
              <w:t>1</w:t>
            </w:r>
            <w:r>
              <w:rPr>
                <w:rFonts w:hint="eastAsia" w:ascii="黑体" w:hAnsi="黑体" w:eastAsia="黑体" w:cs="黑体"/>
                <w:b/>
                <w:bCs/>
                <w:color w:val="auto"/>
                <w:szCs w:val="21"/>
                <w:lang w:val="zh-TW" w:eastAsia="zh-TW"/>
              </w:rPr>
              <w:t>分</w:t>
            </w:r>
            <w:r>
              <w:rPr>
                <w:rFonts w:hint="eastAsia"/>
                <w:color w:val="auto"/>
                <w:szCs w:val="21"/>
                <w:lang w:val="zh-TW" w:eastAsia="zh-TW"/>
              </w:rPr>
              <w:t>；同一买方的多份合同仅算一份业绩，得</w:t>
            </w:r>
            <w:r>
              <w:rPr>
                <w:rFonts w:hint="eastAsia"/>
                <w:color w:val="auto"/>
                <w:szCs w:val="21"/>
              </w:rPr>
              <w:t>1</w:t>
            </w:r>
            <w:r>
              <w:rPr>
                <w:rFonts w:hint="eastAsia"/>
                <w:color w:val="auto"/>
                <w:szCs w:val="21"/>
                <w:lang w:val="zh-TW" w:eastAsia="zh-TW"/>
              </w:rPr>
              <w:t>分；</w:t>
            </w:r>
            <w:r>
              <w:rPr>
                <w:rFonts w:hint="eastAsia" w:ascii="黑体" w:hAnsi="黑体" w:eastAsia="黑体" w:cs="黑体"/>
                <w:b/>
                <w:bCs/>
                <w:color w:val="auto"/>
                <w:szCs w:val="21"/>
                <w:lang w:val="zh-TW" w:eastAsia="zh-TW"/>
              </w:rPr>
              <w:t>最多得</w:t>
            </w:r>
            <w:r>
              <w:rPr>
                <w:rFonts w:hint="eastAsia" w:ascii="黑体" w:hAnsi="黑体" w:eastAsia="黑体" w:cs="黑体"/>
                <w:b/>
                <w:bCs/>
                <w:color w:val="auto"/>
                <w:szCs w:val="21"/>
                <w:lang w:val="en-US" w:eastAsia="zh-CN"/>
              </w:rPr>
              <w:t>5</w:t>
            </w:r>
            <w:r>
              <w:rPr>
                <w:rFonts w:hint="eastAsia" w:ascii="黑体" w:hAnsi="黑体" w:eastAsia="黑体" w:cs="黑体"/>
                <w:b/>
                <w:bCs/>
                <w:color w:val="auto"/>
                <w:szCs w:val="21"/>
                <w:lang w:val="zh-TW" w:eastAsia="zh-TW"/>
              </w:rPr>
              <w:t>分</w:t>
            </w:r>
            <w:r>
              <w:rPr>
                <w:rFonts w:hint="eastAsia"/>
                <w:color w:val="auto"/>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90"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val="en-US" w:eastAsia="zh-CN"/>
              </w:rPr>
            </w:pPr>
            <w:r>
              <w:rPr>
                <w:rFonts w:hint="eastAsia"/>
                <w:szCs w:val="21"/>
                <w:lang w:val="en-US" w:eastAsia="zh-CN"/>
              </w:rPr>
              <w:t>100</w:t>
            </w:r>
          </w:p>
        </w:tc>
        <w:tc>
          <w:tcPr>
            <w:tcW w:w="3734"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353" w:lineRule="auto"/>
        <w:ind w:firstLine="482" w:firstLineChars="200"/>
        <w:rPr>
          <w:rFonts w:hint="eastAsia"/>
          <w:b/>
          <w:sz w:val="24"/>
        </w:rPr>
      </w:pPr>
    </w:p>
    <w:p>
      <w:pPr>
        <w:spacing w:line="353" w:lineRule="auto"/>
        <w:ind w:firstLine="482" w:firstLineChars="200"/>
        <w:rPr>
          <w:rFonts w:hint="eastAsia"/>
          <w:b/>
          <w:sz w:val="24"/>
        </w:rPr>
      </w:pPr>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304988"/>
      <w:bookmarkStart w:id="7" w:name="_Toc231284489"/>
      <w:bookmarkStart w:id="8" w:name="_Toc231279737"/>
      <w:bookmarkStart w:id="9" w:name="_Toc231289932"/>
      <w:bookmarkStart w:id="10" w:name="_Toc231305090"/>
      <w:bookmarkStart w:id="11" w:name="_Toc231279586"/>
      <w:bookmarkStart w:id="12" w:name="_Toc231276966"/>
      <w:bookmarkStart w:id="13" w:name="_Toc231282228"/>
      <w:bookmarkStart w:id="14" w:name="_Toc231281339"/>
      <w:bookmarkStart w:id="15" w:name="_Toc231286901"/>
      <w:bookmarkStart w:id="16" w:name="_Toc231279247"/>
      <w:bookmarkStart w:id="17" w:name="_Toc231280938"/>
      <w:bookmarkStart w:id="18" w:name="_Toc231280344"/>
      <w:bookmarkStart w:id="19" w:name="_Toc231279156"/>
      <w:bookmarkStart w:id="20" w:name="_Toc231289905"/>
      <w:bookmarkStart w:id="21" w:name="_Toc231281705"/>
      <w:bookmarkStart w:id="22" w:name="_Toc231289771"/>
      <w:bookmarkStart w:id="23" w:name="_Toc231279666"/>
      <w:bookmarkStart w:id="24" w:name="_Toc231280804"/>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：商务条款响应/偏离表</w:t>
      </w:r>
    </w:p>
    <w:p>
      <w:pPr>
        <w:spacing w:before="180" w:line="219" w:lineRule="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cs="宋体"/>
          <w:spacing w:val="3"/>
          <w:sz w:val="24"/>
          <w:szCs w:val="24"/>
          <w:lang w:val="en-US" w:eastAsia="zh-CN"/>
        </w:rPr>
        <w:t>5</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cs="宋体"/>
          <w:spacing w:val="3"/>
          <w:sz w:val="24"/>
          <w:szCs w:val="24"/>
          <w:lang w:val="en-US" w:eastAsia="zh-CN"/>
        </w:rPr>
        <w:t>6</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cs="宋体"/>
          <w:spacing w:val="3"/>
          <w:sz w:val="24"/>
          <w:szCs w:val="24"/>
          <w:lang w:val="en-US" w:eastAsia="zh-CN"/>
        </w:rPr>
        <w:t>7</w:t>
      </w:r>
      <w:r>
        <w:rPr>
          <w:rFonts w:ascii="宋体" w:hAnsi="宋体" w:eastAsia="宋体" w:cs="宋体"/>
          <w:spacing w:val="3"/>
          <w:sz w:val="24"/>
          <w:szCs w:val="24"/>
        </w:rPr>
        <w:t>：诚信承诺书</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cs="宋体"/>
          <w:spacing w:val="3"/>
          <w:sz w:val="24"/>
          <w:szCs w:val="24"/>
          <w:lang w:val="en-US" w:eastAsia="zh-CN"/>
        </w:rPr>
        <w:t>8：</w:t>
      </w:r>
      <w:r>
        <w:rPr>
          <w:rFonts w:hint="eastAsia" w:ascii="宋体" w:hAnsi="宋体" w:eastAsia="宋体" w:cs="宋体"/>
          <w:spacing w:val="3"/>
          <w:sz w:val="24"/>
          <w:szCs w:val="24"/>
          <w:lang w:val="en-US" w:eastAsia="zh-CN"/>
        </w:rPr>
        <w:t>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8"/>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footerReference r:id="rId3" w:type="default"/>
          <w:pgSz w:w="11906" w:h="16838"/>
          <w:pgMar w:top="1440" w:right="1644" w:bottom="1440" w:left="1644" w:header="851" w:footer="992" w:gutter="0"/>
          <w:pgNumType w:fmt="decimal"/>
          <w:cols w:space="720" w:num="1"/>
          <w:docGrid w:type="lines" w:linePitch="312" w:charSpace="0"/>
        </w:sectPr>
      </w:pPr>
    </w:p>
    <w:p>
      <w:pPr>
        <w:pStyle w:val="2"/>
        <w:rPr>
          <w:rFonts w:ascii="宋体" w:hAnsi="宋体"/>
          <w:b/>
          <w:bCs w:val="0"/>
          <w:color w:val="000000"/>
          <w:sz w:val="21"/>
          <w:szCs w:val="21"/>
        </w:rPr>
      </w:pPr>
      <w:bookmarkStart w:id="25" w:name="_Toc34991462"/>
      <w:bookmarkStart w:id="26" w:name="_Toc30593"/>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8"/>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3015"/>
        <w:gridCol w:w="2357"/>
        <w:gridCol w:w="1659"/>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3"/>
            <w:noWrap w:val="0"/>
            <w:vAlign w:val="center"/>
          </w:tcPr>
          <w:p>
            <w:pPr>
              <w:spacing w:line="360" w:lineRule="auto"/>
              <w:jc w:val="center"/>
              <w:rPr>
                <w:rFonts w:ascii="宋体"/>
                <w:b/>
                <w:color w:val="000000"/>
                <w:szCs w:val="21"/>
              </w:rPr>
            </w:pPr>
          </w:p>
        </w:tc>
        <w:tc>
          <w:tcPr>
            <w:tcW w:w="1659" w:type="dxa"/>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4633" w:type="dxa"/>
            <w:gridSpan w:val="3"/>
            <w:noWrap w:val="0"/>
            <w:vAlign w:val="center"/>
          </w:tcPr>
          <w:p>
            <w:pPr>
              <w:spacing w:line="360" w:lineRule="auto"/>
              <w:jc w:val="center"/>
              <w:rPr>
                <w:rFonts w:hint="default" w:ascii="宋体" w:eastAsia="宋体"/>
                <w:b/>
                <w:color w:val="000000"/>
                <w:szCs w:val="21"/>
                <w:lang w:val="en-US" w:eastAsia="zh-CN"/>
              </w:rPr>
            </w:pPr>
            <w:r>
              <w:rPr>
                <w:rFonts w:hint="eastAsia" w:ascii="宋体" w:hAnsi="宋体"/>
                <w:b/>
                <w:color w:val="000000"/>
                <w:szCs w:val="21"/>
                <w:lang w:val="en-US" w:eastAsia="zh-CN"/>
              </w:rPr>
              <w:t>项目内容</w:t>
            </w:r>
          </w:p>
        </w:tc>
        <w:tc>
          <w:tcPr>
            <w:tcW w:w="2357" w:type="dxa"/>
            <w:noWrap w:val="0"/>
            <w:vAlign w:val="center"/>
          </w:tcPr>
          <w:p>
            <w:pPr>
              <w:spacing w:line="360" w:lineRule="auto"/>
              <w:jc w:val="center"/>
              <w:rPr>
                <w:rFonts w:hint="default" w:ascii="宋体" w:eastAsia="宋体"/>
                <w:b/>
                <w:color w:val="000000"/>
                <w:szCs w:val="21"/>
                <w:lang w:val="en-US" w:eastAsia="zh-CN"/>
              </w:rPr>
            </w:pPr>
            <w:r>
              <w:rPr>
                <w:rFonts w:hint="eastAsia" w:ascii="宋体" w:hAnsi="宋体"/>
                <w:b/>
                <w:color w:val="000000"/>
                <w:szCs w:val="21"/>
                <w:lang w:val="en-US" w:eastAsia="zh-CN"/>
              </w:rPr>
              <w:t>实习地点</w:t>
            </w:r>
          </w:p>
        </w:tc>
        <w:tc>
          <w:tcPr>
            <w:tcW w:w="1659" w:type="dxa"/>
            <w:noWrap w:val="0"/>
            <w:vAlign w:val="center"/>
          </w:tcPr>
          <w:p>
            <w:pPr>
              <w:spacing w:line="360" w:lineRule="auto"/>
              <w:jc w:val="center"/>
              <w:rPr>
                <w:rFonts w:ascii="宋体"/>
                <w:b/>
                <w:color w:val="000000"/>
                <w:szCs w:val="21"/>
              </w:rPr>
            </w:pPr>
            <w:r>
              <w:rPr>
                <w:rFonts w:hint="eastAsia" w:ascii="宋体"/>
                <w:b/>
                <w:color w:val="000000"/>
                <w:szCs w:val="21"/>
                <w:lang w:val="en-US" w:eastAsia="zh-CN"/>
              </w:rPr>
              <w:t>学生人数</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hint="default" w:ascii="宋体" w:eastAsia="宋体"/>
                <w:b/>
                <w:color w:val="000000"/>
                <w:szCs w:val="21"/>
                <w:lang w:val="en-US" w:eastAsia="zh-CN"/>
              </w:rPr>
            </w:pPr>
            <w:r>
              <w:rPr>
                <w:rFonts w:hint="eastAsia" w:ascii="宋体"/>
                <w:b/>
                <w:color w:val="000000"/>
                <w:szCs w:val="21"/>
                <w:lang w:val="en-US" w:eastAsia="zh-CN"/>
              </w:rPr>
              <w:t>天数</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exact"/>
        </w:trPr>
        <w:tc>
          <w:tcPr>
            <w:tcW w:w="900" w:type="dxa"/>
            <w:noWrap w:val="0"/>
            <w:vAlign w:val="top"/>
          </w:tcPr>
          <w:p>
            <w:pPr>
              <w:spacing w:line="360" w:lineRule="auto"/>
              <w:rPr>
                <w:rFonts w:ascii="宋体"/>
                <w:color w:val="000000"/>
                <w:sz w:val="24"/>
              </w:rPr>
            </w:pPr>
          </w:p>
        </w:tc>
        <w:tc>
          <w:tcPr>
            <w:tcW w:w="4633" w:type="dxa"/>
            <w:gridSpan w:val="3"/>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1659"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2"/>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spacing w:line="480" w:lineRule="auto"/>
        <w:jc w:val="center"/>
        <w:rPr>
          <w:rFonts w:hint="eastAsia"/>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ascii="宋体"/>
          <w:color w:val="000000"/>
          <w:spacing w:val="4"/>
          <w:sz w:val="24"/>
        </w:rPr>
        <w:br w:type="page"/>
      </w:r>
    </w:p>
    <w:p>
      <w:pPr>
        <w:pStyle w:val="2"/>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bookmarkStart w:id="27" w:name="_Toc34991463"/>
      <w:bookmarkStart w:id="28" w:name="_Toc7052"/>
      <w:bookmarkStart w:id="29" w:name="_Toc231305093"/>
      <w:bookmarkStart w:id="30" w:name="_Toc231304991"/>
      <w:bookmarkStart w:id="31" w:name="_Toc231279740"/>
      <w:bookmarkStart w:id="32" w:name="_Toc231284492"/>
      <w:bookmarkStart w:id="33" w:name="_Toc231281708"/>
      <w:bookmarkStart w:id="34" w:name="_Toc231280807"/>
      <w:bookmarkStart w:id="35" w:name="_Toc231286904"/>
      <w:bookmarkStart w:id="36" w:name="_Toc231289774"/>
      <w:bookmarkStart w:id="37" w:name="_Toc231279669"/>
      <w:bookmarkStart w:id="38" w:name="_Toc231289908"/>
      <w:bookmarkStart w:id="39" w:name="_Toc231279589"/>
      <w:bookmarkStart w:id="40" w:name="_Toc407266082"/>
      <w:bookmarkStart w:id="41" w:name="_Toc231289935"/>
      <w:bookmarkStart w:id="42" w:name="_Toc231281342"/>
      <w:bookmarkStart w:id="43" w:name="_Toc231280941"/>
      <w:bookmarkStart w:id="44" w:name="_Toc231282231"/>
      <w:bookmarkStart w:id="45" w:name="_Toc231280347"/>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w:t>
      </w:r>
      <w:bookmarkEnd w:id="27"/>
      <w:bookmarkEnd w:id="28"/>
      <w:bookmarkStart w:id="46" w:name="_Toc8152"/>
      <w:bookmarkStart w:id="47" w:name="_Toc34991464"/>
    </w:p>
    <w:bookmarkEnd w:id="46"/>
    <w:bookmarkEnd w:id="47"/>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2"/>
        <w:rPr>
          <w:color w:val="000000"/>
        </w:rPr>
      </w:pPr>
      <w:bookmarkStart w:id="48" w:name="_Toc13075"/>
      <w:bookmarkStart w:id="49"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48"/>
      <w:bookmarkEnd w:id="49"/>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14"/>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3"/>
        <w:spacing w:line="290" w:lineRule="auto"/>
      </w:pPr>
    </w:p>
    <w:p>
      <w:pPr>
        <w:pStyle w:val="3"/>
        <w:spacing w:line="290" w:lineRule="auto"/>
      </w:pPr>
    </w:p>
    <w:p>
      <w:pPr>
        <w:pStyle w:val="3"/>
        <w:spacing w:line="291" w:lineRule="auto"/>
      </w:pPr>
    </w:p>
    <w:p>
      <w:pPr>
        <w:pStyle w:val="3"/>
        <w:spacing w:line="291" w:lineRule="auto"/>
      </w:pPr>
    </w:p>
    <w:p>
      <w:pPr>
        <w:spacing w:before="140" w:line="223" w:lineRule="auto"/>
        <w:ind w:left="2896"/>
        <w:rPr>
          <w:rFonts w:ascii="宋体" w:hAnsi="宋体" w:eastAsia="宋体" w:cs="宋体"/>
          <w:sz w:val="43"/>
          <w:szCs w:val="43"/>
        </w:rPr>
      </w:pPr>
      <w:bookmarkStart w:id="50" w:name="bookmark25"/>
      <w:bookmarkEnd w:id="50"/>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3"/>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pStyle w:val="3"/>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2"/>
        <w:rPr>
          <w:color w:val="000000"/>
        </w:rPr>
      </w:pPr>
    </w:p>
    <w:p>
      <w:pPr>
        <w:pStyle w:val="2"/>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3"/>
        <w:spacing w:line="317" w:lineRule="auto"/>
      </w:pPr>
    </w:p>
    <w:p>
      <w:pPr>
        <w:pStyle w:val="3"/>
        <w:spacing w:line="317" w:lineRule="auto"/>
      </w:pPr>
    </w:p>
    <w:p>
      <w:pPr>
        <w:spacing w:before="139" w:line="223" w:lineRule="auto"/>
        <w:ind w:left="3778"/>
        <w:rPr>
          <w:rFonts w:ascii="宋体" w:hAnsi="宋体" w:eastAsia="宋体" w:cs="宋体"/>
          <w:sz w:val="43"/>
          <w:szCs w:val="43"/>
        </w:rPr>
      </w:pPr>
      <w:bookmarkStart w:id="51" w:name="bookmark26"/>
      <w:bookmarkEnd w:id="51"/>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3"/>
        <w:spacing w:line="244" w:lineRule="auto"/>
      </w:pPr>
    </w:p>
    <w:p>
      <w:pPr>
        <w:pStyle w:val="3"/>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7"/>
        <w:rPr>
          <w:rFonts w:ascii="宋体" w:hAnsi="宋体" w:eastAsia="宋体" w:cs="宋体"/>
          <w:spacing w:val="-10"/>
          <w:sz w:val="28"/>
          <w:szCs w:val="28"/>
        </w:rPr>
      </w:pPr>
    </w:p>
    <w:p>
      <w:pPr>
        <w:pStyle w:val="2"/>
        <w:rPr>
          <w:b w:val="0"/>
          <w:color w:val="000000"/>
          <w:sz w:val="44"/>
          <w:szCs w:val="44"/>
        </w:rPr>
      </w:pPr>
      <w:bookmarkStart w:id="52" w:name="_Toc30136"/>
      <w:bookmarkStart w:id="53"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2"/>
      <w:bookmarkEnd w:id="53"/>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15"/>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15"/>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1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1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1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15"/>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7"/>
        <w:rPr>
          <w:rFonts w:ascii="宋体" w:hAnsi="宋体" w:eastAsia="宋体" w:cs="宋体"/>
          <w:spacing w:val="-10"/>
          <w:sz w:val="28"/>
          <w:szCs w:val="28"/>
        </w:rPr>
      </w:pPr>
    </w:p>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2D826AA6"/>
    <w:rsid w:val="11AD363C"/>
    <w:rsid w:val="23381361"/>
    <w:rsid w:val="259972ED"/>
    <w:rsid w:val="2D826AA6"/>
    <w:rsid w:val="30766201"/>
    <w:rsid w:val="3FBD23EC"/>
    <w:rsid w:val="437E3A08"/>
    <w:rsid w:val="476D12E6"/>
    <w:rsid w:val="4AAF58D9"/>
    <w:rsid w:val="654D7A6A"/>
    <w:rsid w:val="74FA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napToGrid w:val="0"/>
      <w:spacing w:before="120" w:after="120" w:line="360" w:lineRule="auto"/>
    </w:pPr>
    <w:rPr>
      <w:rFonts w:ascii="宋体" w:hAnsi="宋体"/>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ascii="Calibri" w:hAnsi="Calibri"/>
      <w:kern w:val="0"/>
      <w:sz w:val="24"/>
    </w:rPr>
  </w:style>
  <w:style w:type="paragraph" w:styleId="7">
    <w:name w:val="Body Text First Indent"/>
    <w:basedOn w:val="3"/>
    <w:qFormat/>
    <w:uiPriority w:val="99"/>
    <w:pPr>
      <w:ind w:firstLine="420" w:firstLineChars="100"/>
    </w:pPr>
  </w:style>
  <w:style w:type="character" w:styleId="10">
    <w:name w:val="Strong"/>
    <w:basedOn w:val="9"/>
    <w:qFormat/>
    <w:uiPriority w:val="0"/>
    <w:rPr>
      <w:b/>
    </w:rPr>
  </w:style>
  <w:style w:type="paragraph" w:customStyle="1" w:styleId="11">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12">
    <w:name w:val="Table Text"/>
    <w:basedOn w:val="1"/>
    <w:autoRedefine/>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5">
    <w:name w:val="普通正文"/>
    <w:basedOn w:val="1"/>
    <w:autoRedefine/>
    <w:qFormat/>
    <w:uiPriority w:val="0"/>
    <w:pPr>
      <w:adjustRightInd w:val="0"/>
      <w:spacing w:before="120" w:after="120" w:line="360" w:lineRule="auto"/>
      <w:ind w:firstLine="480"/>
      <w:jc w:val="left"/>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7535</Words>
  <Characters>8092</Characters>
  <Lines>0</Lines>
  <Paragraphs>0</Paragraphs>
  <TotalTime>8</TotalTime>
  <ScaleCrop>false</ScaleCrop>
  <LinksUpToDate>false</LinksUpToDate>
  <CharactersWithSpaces>8945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2024-06-13T06:05:00Z</dcterms:created>
  <dc:creator>梧桐雨</dc:creator>
  <cp:lastModifiedBy>阿诺多罗</cp:lastModifiedBy>
  <dcterms:modified xsi:type="dcterms:W3CDTF">2024-06-14T06:23:54Z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1D397268568D42C0939D7740F10C6B66_13</vt:lpwstr>
  </property>
</Properties>
</file>