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15" w:lineRule="atLeast"/>
        <w:jc w:val="center"/>
        <w:rPr>
          <w:rFonts w:ascii="仿宋_GB2312" w:hAnsi="微软雅黑" w:eastAsia="仿宋_GB2312" w:cs="宋体"/>
          <w:bCs/>
          <w:kern w:val="0"/>
          <w:sz w:val="28"/>
          <w:szCs w:val="28"/>
        </w:rPr>
      </w:pPr>
      <w:r>
        <w:rPr>
          <w:rFonts w:hint="eastAsia" w:ascii="仿宋_GB2312" w:hAnsi="微软雅黑" w:eastAsia="仿宋_GB2312" w:cs="宋体"/>
          <w:bCs/>
          <w:kern w:val="0"/>
          <w:sz w:val="28"/>
          <w:szCs w:val="28"/>
        </w:rPr>
        <w:t>海安理工置业有限公司理工佳园项目</w:t>
      </w:r>
    </w:p>
    <w:p>
      <w:pPr>
        <w:widowControl/>
        <w:shd w:val="clear" w:color="auto" w:fill="FFFFFF"/>
        <w:spacing w:line="315" w:lineRule="atLeas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二次供水泵房设备采购安装招标公告</w:t>
      </w:r>
    </w:p>
    <w:p>
      <w:pPr>
        <w:widowControl/>
        <w:shd w:val="clear" w:color="auto" w:fill="FFFFFF"/>
        <w:spacing w:line="315" w:lineRule="atLeast"/>
        <w:jc w:val="left"/>
        <w:rPr>
          <w:rFonts w:ascii="仿宋_GB2312" w:hAnsi="微软雅黑" w:eastAsia="仿宋_GB2312" w:cs="宋体"/>
          <w:b/>
          <w:bCs/>
          <w:kern w:val="0"/>
          <w:sz w:val="24"/>
          <w:szCs w:val="24"/>
        </w:rPr>
      </w:pPr>
    </w:p>
    <w:p>
      <w:pPr>
        <w:widowControl/>
        <w:shd w:val="clear" w:color="auto" w:fill="FFFFFF"/>
        <w:spacing w:line="315" w:lineRule="atLeast"/>
        <w:jc w:val="left"/>
        <w:rPr>
          <w:rFonts w:ascii="仿宋_GB2312" w:hAnsi="微软雅黑" w:eastAsia="仿宋_GB2312" w:cs="宋体"/>
          <w:kern w:val="0"/>
          <w:szCs w:val="21"/>
        </w:rPr>
      </w:pPr>
      <w:r>
        <w:rPr>
          <w:rFonts w:hint="eastAsia" w:ascii="仿宋_GB2312" w:hAnsi="微软雅黑" w:eastAsia="仿宋_GB2312" w:cs="宋体"/>
          <w:b/>
          <w:bCs/>
          <w:kern w:val="0"/>
          <w:sz w:val="24"/>
          <w:szCs w:val="24"/>
        </w:rPr>
        <w:t>1、项目概况</w:t>
      </w:r>
    </w:p>
    <w:p>
      <w:pPr>
        <w:widowControl/>
        <w:shd w:val="clear" w:color="auto" w:fill="FFFFFF"/>
        <w:spacing w:line="315" w:lineRule="atLeast"/>
        <w:ind w:firstLine="480"/>
        <w:jc w:val="left"/>
        <w:rPr>
          <w:rFonts w:ascii="仿宋_GB2312" w:hAnsi="微软雅黑" w:eastAsia="仿宋_GB2312" w:cs="宋体"/>
          <w:kern w:val="0"/>
          <w:szCs w:val="21"/>
        </w:rPr>
      </w:pPr>
      <w:r>
        <w:rPr>
          <w:rFonts w:hint="eastAsia" w:ascii="仿宋_GB2312" w:hAnsi="宋体" w:eastAsia="仿宋_GB2312" w:cs="宋体"/>
          <w:kern w:val="0"/>
          <w:sz w:val="24"/>
          <w:szCs w:val="24"/>
        </w:rPr>
        <w:t>理工佳园位于海安市经济技术开发区学贤街1号，项目已具备招标条件，现对该项目的二次供水泵房设备采购安装工程</w:t>
      </w:r>
      <w:r>
        <w:rPr>
          <w:rFonts w:hint="eastAsia" w:ascii="仿宋_GB2312" w:hAnsi="宋体" w:eastAsia="仿宋_GB2312" w:cs="宋体"/>
          <w:kern w:val="0"/>
          <w:sz w:val="24"/>
          <w:szCs w:val="24"/>
          <w:lang w:val="en-US" w:eastAsia="zh-CN"/>
        </w:rPr>
        <w:t>(位于地下室</w:t>
      </w:r>
      <w:bookmarkStart w:id="0" w:name="_GoBack"/>
      <w:bookmarkEnd w:id="0"/>
      <w:r>
        <w:rPr>
          <w:rFonts w:hint="eastAsia" w:ascii="仿宋_GB2312" w:hAnsi="宋体" w:eastAsia="仿宋_GB2312" w:cs="宋体"/>
          <w:kern w:val="0"/>
          <w:sz w:val="24"/>
          <w:szCs w:val="24"/>
          <w:lang w:val="en-US" w:eastAsia="zh-CN"/>
        </w:rPr>
        <w:t>)</w:t>
      </w:r>
      <w:r>
        <w:rPr>
          <w:rFonts w:hint="eastAsia" w:ascii="仿宋_GB2312" w:hAnsi="宋体" w:eastAsia="仿宋_GB2312" w:cs="宋体"/>
          <w:kern w:val="0"/>
          <w:sz w:val="24"/>
          <w:szCs w:val="24"/>
        </w:rPr>
        <w:t>，进行公开招标。</w:t>
      </w:r>
    </w:p>
    <w:p>
      <w:pPr>
        <w:widowControl/>
        <w:shd w:val="clear" w:color="auto" w:fill="FFFFFF"/>
        <w:spacing w:line="408" w:lineRule="atLeast"/>
        <w:jc w:val="left"/>
        <w:rPr>
          <w:rFonts w:ascii="仿宋_GB2312" w:hAnsi="微软雅黑" w:eastAsia="仿宋_GB2312" w:cs="宋体"/>
          <w:kern w:val="0"/>
          <w:szCs w:val="21"/>
        </w:rPr>
      </w:pPr>
      <w:r>
        <w:rPr>
          <w:rFonts w:hint="eastAsia" w:ascii="仿宋_GB2312" w:hAnsi="微软雅黑" w:eastAsia="仿宋_GB2312" w:cs="宋体"/>
          <w:b/>
          <w:bCs/>
          <w:kern w:val="0"/>
          <w:sz w:val="24"/>
          <w:szCs w:val="24"/>
        </w:rPr>
        <w:t>2、工期要求：</w:t>
      </w:r>
      <w:r>
        <w:rPr>
          <w:rFonts w:hint="eastAsia" w:ascii="仿宋_GB2312" w:hAnsi="微软雅黑" w:eastAsia="仿宋_GB2312" w:cs="宋体"/>
          <w:b/>
          <w:bCs/>
          <w:kern w:val="0"/>
          <w:sz w:val="24"/>
          <w:szCs w:val="24"/>
          <w:lang w:val="en-US" w:eastAsia="zh-CN"/>
        </w:rPr>
        <w:t>30</w:t>
      </w:r>
      <w:r>
        <w:rPr>
          <w:rFonts w:hint="eastAsia" w:ascii="仿宋_GB2312" w:hAnsi="微软雅黑" w:eastAsia="仿宋_GB2312" w:cs="宋体"/>
          <w:b/>
          <w:bCs/>
          <w:kern w:val="0"/>
          <w:sz w:val="24"/>
          <w:szCs w:val="24"/>
        </w:rPr>
        <w:t>天</w:t>
      </w:r>
    </w:p>
    <w:p>
      <w:pPr>
        <w:widowControl/>
        <w:shd w:val="clear" w:color="auto" w:fill="FFFFFF"/>
        <w:spacing w:line="315" w:lineRule="atLeast"/>
        <w:jc w:val="left"/>
        <w:rPr>
          <w:rFonts w:ascii="仿宋_GB2312" w:hAnsi="微软雅黑" w:eastAsia="仿宋_GB2312" w:cs="宋体"/>
          <w:b/>
          <w:kern w:val="0"/>
          <w:szCs w:val="21"/>
        </w:rPr>
      </w:pPr>
      <w:r>
        <w:rPr>
          <w:rFonts w:hint="eastAsia" w:ascii="仿宋_GB2312" w:hAnsi="宋体" w:eastAsia="仿宋_GB2312" w:cs="宋体"/>
          <w:b/>
          <w:bCs/>
          <w:kern w:val="0"/>
          <w:sz w:val="24"/>
          <w:szCs w:val="24"/>
        </w:rPr>
        <w:t>3、招标文件获取途径</w:t>
      </w:r>
    </w:p>
    <w:p>
      <w:pPr>
        <w:widowControl/>
        <w:shd w:val="clear" w:color="auto" w:fill="FFFFFF"/>
        <w:spacing w:line="315" w:lineRule="atLeast"/>
        <w:ind w:firstLine="480"/>
        <w:jc w:val="left"/>
        <w:rPr>
          <w:rFonts w:ascii="仿宋_GB2312" w:hAnsi="微软雅黑" w:eastAsia="仿宋_GB2312" w:cs="宋体"/>
          <w:kern w:val="0"/>
          <w:szCs w:val="21"/>
        </w:rPr>
      </w:pPr>
      <w:r>
        <w:rPr>
          <w:rFonts w:hint="eastAsia" w:ascii="仿宋_GB2312" w:hAnsi="宋体" w:eastAsia="仿宋_GB2312" w:cs="宋体"/>
          <w:kern w:val="0"/>
          <w:sz w:val="24"/>
          <w:szCs w:val="24"/>
        </w:rPr>
        <w:t>投标人自行下载（投标人自行登录南通理工学院招标主页</w:t>
      </w:r>
      <w:r>
        <w:rPr>
          <w:rFonts w:ascii="仿宋_GB2312" w:hAnsi="微软雅黑" w:eastAsia="仿宋_GB2312" w:cs="宋体"/>
          <w:kern w:val="0"/>
          <w:sz w:val="24"/>
          <w:szCs w:val="24"/>
        </w:rPr>
        <w:t>https://hqzc.ntit.edu.cn/1654/list.htm</w:t>
      </w:r>
      <w:r>
        <w:rPr>
          <w:rFonts w:hint="eastAsia" w:ascii="仿宋_GB2312" w:hAnsi="宋体" w:eastAsia="仿宋_GB2312" w:cs="宋体"/>
          <w:kern w:val="0"/>
          <w:sz w:val="24"/>
          <w:szCs w:val="24"/>
        </w:rPr>
        <w:t>下载,报名中有任何疑问，请在工作时间与项目联系人联系）。</w:t>
      </w:r>
    </w:p>
    <w:p>
      <w:pPr>
        <w:widowControl/>
        <w:shd w:val="clear" w:color="auto" w:fill="FFFFFF"/>
        <w:spacing w:line="315" w:lineRule="atLeast"/>
        <w:jc w:val="left"/>
        <w:rPr>
          <w:rFonts w:ascii="仿宋_GB2312" w:hAnsi="微软雅黑" w:eastAsia="仿宋_GB2312" w:cs="宋体"/>
          <w:kern w:val="0"/>
          <w:szCs w:val="21"/>
        </w:rPr>
      </w:pPr>
      <w:r>
        <w:rPr>
          <w:rFonts w:hint="eastAsia" w:ascii="仿宋_GB2312" w:hAnsi="宋体" w:eastAsia="仿宋_GB2312" w:cs="宋体"/>
          <w:b/>
          <w:bCs/>
          <w:kern w:val="0"/>
          <w:sz w:val="24"/>
          <w:szCs w:val="24"/>
        </w:rPr>
        <w:t>4、参加本次招标活动的投标人需具备以下条件</w:t>
      </w:r>
    </w:p>
    <w:p>
      <w:pPr>
        <w:widowControl/>
        <w:shd w:val="clear" w:color="auto" w:fill="FFFFFF"/>
        <w:spacing w:line="315" w:lineRule="atLeast"/>
        <w:ind w:firstLine="480" w:firstLineChars="200"/>
        <w:jc w:val="left"/>
        <w:rPr>
          <w:rFonts w:ascii="仿宋_GB2312" w:hAnsi="宋体" w:eastAsia="仿宋_GB2312" w:cs="宋体"/>
          <w:kern w:val="0"/>
          <w:sz w:val="24"/>
          <w:szCs w:val="24"/>
        </w:rPr>
      </w:pPr>
      <w:r>
        <w:rPr>
          <w:rFonts w:hint="eastAsia" w:ascii="仿宋_GB2312" w:hAnsi="宋体" w:eastAsia="仿宋_GB2312" w:cs="宋体"/>
          <w:kern w:val="0"/>
          <w:sz w:val="24"/>
          <w:szCs w:val="24"/>
        </w:rPr>
        <w:t>（1）参加投标的单位（以下称“投标单位”）必须具有独立的法人资格，营业执照在有效期内，招标内容在营业执照的经营范围内。</w:t>
      </w:r>
    </w:p>
    <w:p>
      <w:pPr>
        <w:widowControl/>
        <w:shd w:val="clear" w:color="auto" w:fill="FFFFFF"/>
        <w:spacing w:line="315" w:lineRule="atLeast"/>
        <w:ind w:firstLine="480" w:firstLineChars="200"/>
        <w:jc w:val="left"/>
        <w:rPr>
          <w:rFonts w:ascii="仿宋_GB2312" w:hAnsi="宋体" w:eastAsia="仿宋_GB2312" w:cs="宋体"/>
          <w:kern w:val="0"/>
          <w:sz w:val="24"/>
          <w:szCs w:val="24"/>
        </w:rPr>
      </w:pPr>
      <w:r>
        <w:rPr>
          <w:rFonts w:hint="eastAsia" w:ascii="仿宋_GB2312" w:hAnsi="宋体" w:eastAsia="仿宋_GB2312" w:cs="宋体"/>
          <w:kern w:val="0"/>
          <w:sz w:val="24"/>
          <w:szCs w:val="24"/>
        </w:rPr>
        <w:t>（2）投标单位必须经有关部门审查合格认可为有能力承担同类工程的单位，否则即使招标单位接纳投标单位的投标，双方以为已构成的合同也不会生效，而招标单位还要保留向投标单位追讨因此而造成一切损失的权利。</w:t>
      </w:r>
    </w:p>
    <w:p>
      <w:pPr>
        <w:widowControl/>
        <w:shd w:val="clear" w:color="auto" w:fill="FFFFFF"/>
        <w:spacing w:line="315" w:lineRule="atLeast"/>
        <w:ind w:firstLine="480" w:firstLineChars="200"/>
        <w:jc w:val="left"/>
        <w:rPr>
          <w:rFonts w:ascii="仿宋_GB2312" w:hAnsi="宋体" w:eastAsia="仿宋_GB2312" w:cs="宋体"/>
          <w:kern w:val="0"/>
          <w:sz w:val="24"/>
          <w:szCs w:val="24"/>
        </w:rPr>
      </w:pPr>
      <w:r>
        <w:rPr>
          <w:rFonts w:hint="eastAsia" w:ascii="仿宋_GB2312" w:hAnsi="宋体" w:eastAsia="仿宋_GB2312" w:cs="宋体"/>
          <w:kern w:val="0"/>
          <w:sz w:val="24"/>
          <w:szCs w:val="24"/>
        </w:rPr>
        <w:t>（3）未处于被责令停业、投标资格被取消或者财产被接管、冻结和破产状态；</w:t>
      </w:r>
    </w:p>
    <w:p>
      <w:pPr>
        <w:widowControl/>
        <w:shd w:val="clear" w:color="auto" w:fill="FFFFFF"/>
        <w:spacing w:line="315" w:lineRule="atLeast"/>
        <w:ind w:firstLine="480" w:firstLineChars="200"/>
        <w:jc w:val="left"/>
        <w:rPr>
          <w:rFonts w:ascii="仿宋_GB2312" w:hAnsi="宋体" w:eastAsia="仿宋_GB2312" w:cs="宋体"/>
          <w:kern w:val="0"/>
          <w:sz w:val="24"/>
          <w:szCs w:val="24"/>
        </w:rPr>
      </w:pPr>
      <w:r>
        <w:rPr>
          <w:rFonts w:hint="eastAsia" w:ascii="仿宋_GB2312" w:hAnsi="宋体" w:eastAsia="仿宋_GB2312" w:cs="宋体"/>
          <w:kern w:val="0"/>
          <w:sz w:val="24"/>
          <w:szCs w:val="24"/>
        </w:rPr>
        <w:t>（4）在最近三年内没有骗取中标，在经营活动中没有重大违法记录、严重违约和设备重大质量问题。</w:t>
      </w:r>
    </w:p>
    <w:p>
      <w:pPr>
        <w:widowControl/>
        <w:shd w:val="clear" w:color="auto" w:fill="FFFFFF"/>
        <w:spacing w:line="315" w:lineRule="atLeast"/>
        <w:jc w:val="left"/>
        <w:rPr>
          <w:rFonts w:ascii="仿宋_GB2312" w:hAnsi="微软雅黑" w:eastAsia="仿宋_GB2312" w:cs="宋体"/>
          <w:kern w:val="0"/>
          <w:szCs w:val="21"/>
        </w:rPr>
      </w:pPr>
      <w:r>
        <w:rPr>
          <w:rFonts w:hint="eastAsia" w:ascii="仿宋_GB2312" w:hAnsi="宋体" w:eastAsia="仿宋_GB2312" w:cs="宋体"/>
          <w:b/>
          <w:bCs/>
          <w:kern w:val="0"/>
          <w:sz w:val="24"/>
          <w:szCs w:val="24"/>
        </w:rPr>
        <w:t>5、投标人资格审查方式</w:t>
      </w:r>
    </w:p>
    <w:p>
      <w:pPr>
        <w:widowControl/>
        <w:shd w:val="clear" w:color="auto" w:fill="FFFFFF"/>
        <w:spacing w:line="315" w:lineRule="atLeast"/>
        <w:ind w:firstLine="480"/>
        <w:jc w:val="left"/>
        <w:rPr>
          <w:rFonts w:ascii="仿宋_GB2312" w:hAnsi="微软雅黑" w:eastAsia="仿宋_GB2312" w:cs="宋体"/>
          <w:kern w:val="0"/>
          <w:szCs w:val="21"/>
        </w:rPr>
      </w:pPr>
      <w:r>
        <w:rPr>
          <w:rFonts w:hint="eastAsia" w:ascii="仿宋_GB2312" w:hAnsi="宋体" w:eastAsia="仿宋_GB2312" w:cs="宋体"/>
          <w:kern w:val="0"/>
          <w:sz w:val="24"/>
          <w:szCs w:val="24"/>
        </w:rPr>
        <w:t>资格后审。</w:t>
      </w:r>
    </w:p>
    <w:p>
      <w:pPr>
        <w:widowControl/>
        <w:shd w:val="clear" w:color="auto" w:fill="FFFFFF"/>
        <w:spacing w:line="315" w:lineRule="atLeast"/>
        <w:jc w:val="left"/>
        <w:rPr>
          <w:rFonts w:ascii="仿宋_GB2312" w:hAnsi="微软雅黑" w:eastAsia="仿宋_GB2312" w:cs="宋体"/>
          <w:kern w:val="0"/>
          <w:szCs w:val="21"/>
        </w:rPr>
      </w:pPr>
      <w:r>
        <w:rPr>
          <w:rFonts w:hint="eastAsia" w:ascii="仿宋_GB2312" w:hAnsi="宋体" w:eastAsia="仿宋_GB2312" w:cs="宋体"/>
          <w:b/>
          <w:bCs/>
          <w:kern w:val="0"/>
          <w:sz w:val="24"/>
          <w:szCs w:val="24"/>
        </w:rPr>
        <w:t>6、付款方式</w:t>
      </w:r>
    </w:p>
    <w:p>
      <w:pPr>
        <w:widowControl/>
        <w:shd w:val="clear" w:color="auto" w:fill="FFFFFF"/>
        <w:spacing w:line="315" w:lineRule="atLeast"/>
        <w:ind w:firstLine="480" w:firstLineChars="200"/>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（1）进场安装后，付合同总价的30%；</w:t>
      </w:r>
    </w:p>
    <w:p>
      <w:pPr>
        <w:widowControl/>
        <w:shd w:val="clear" w:color="auto" w:fill="FFFFFF"/>
        <w:spacing w:line="315" w:lineRule="atLeast"/>
        <w:ind w:firstLine="480" w:firstLineChars="200"/>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（2）全部安装完成并经有关单位验收合格后，付至合同总价的95%；</w:t>
      </w:r>
    </w:p>
    <w:p>
      <w:pPr>
        <w:widowControl/>
        <w:shd w:val="clear" w:color="auto" w:fill="FFFFFF"/>
        <w:spacing w:line="315" w:lineRule="atLeast"/>
        <w:ind w:firstLine="480" w:firstLineChars="200"/>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（3）余5%作为保修金，保修期满后15个工作日内，提供工程验收单，发包人将保修金返还给承包人（无息）。</w:t>
      </w:r>
    </w:p>
    <w:p>
      <w:pPr>
        <w:widowControl/>
        <w:shd w:val="clear" w:color="auto" w:fill="FFFFFF"/>
        <w:spacing w:line="315" w:lineRule="atLeast"/>
        <w:ind w:firstLine="480" w:firstLineChars="200"/>
        <w:jc w:val="lef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（4）每次付款前需提供等额的增值税专用发票。</w:t>
      </w:r>
    </w:p>
    <w:p>
      <w:pPr>
        <w:widowControl/>
        <w:shd w:val="clear" w:color="auto" w:fill="FFFFFF"/>
        <w:spacing w:line="315" w:lineRule="atLeast"/>
        <w:jc w:val="left"/>
        <w:rPr>
          <w:rFonts w:ascii="仿宋_GB2312" w:hAnsi="微软雅黑" w:eastAsia="仿宋_GB2312" w:cs="宋体"/>
          <w:kern w:val="0"/>
          <w:szCs w:val="21"/>
        </w:rPr>
      </w:pPr>
      <w:r>
        <w:rPr>
          <w:rFonts w:hint="eastAsia" w:ascii="仿宋_GB2312" w:hAnsi="宋体" w:eastAsia="仿宋_GB2312" w:cs="宋体"/>
          <w:b/>
          <w:bCs/>
          <w:kern w:val="0"/>
          <w:sz w:val="24"/>
          <w:szCs w:val="24"/>
        </w:rPr>
        <w:t>7、招标文件售价</w:t>
      </w:r>
    </w:p>
    <w:p>
      <w:pPr>
        <w:widowControl/>
        <w:shd w:val="clear" w:color="auto" w:fill="FFFFFF"/>
        <w:spacing w:line="315" w:lineRule="atLeast"/>
        <w:ind w:firstLine="480"/>
        <w:jc w:val="left"/>
        <w:rPr>
          <w:rFonts w:ascii="仿宋_GB2312" w:hAnsi="微软雅黑" w:eastAsia="仿宋_GB2312" w:cs="宋体"/>
          <w:kern w:val="0"/>
          <w:szCs w:val="21"/>
        </w:rPr>
      </w:pPr>
      <w:r>
        <w:rPr>
          <w:rFonts w:hint="eastAsia" w:ascii="仿宋_GB2312" w:hAnsi="宋体" w:eastAsia="仿宋_GB2312" w:cs="宋体"/>
          <w:kern w:val="0"/>
          <w:sz w:val="24"/>
          <w:szCs w:val="24"/>
        </w:rPr>
        <w:t>人民币200元。投标时现场缴纳，售后不退。</w:t>
      </w:r>
    </w:p>
    <w:p>
      <w:pPr>
        <w:widowControl/>
        <w:shd w:val="clear" w:color="auto" w:fill="FFFFFF"/>
        <w:spacing w:line="315" w:lineRule="atLeast"/>
        <w:jc w:val="left"/>
        <w:rPr>
          <w:rFonts w:ascii="仿宋_GB2312" w:hAnsi="微软雅黑" w:eastAsia="仿宋_GB2312" w:cs="宋体"/>
          <w:kern w:val="0"/>
          <w:szCs w:val="21"/>
        </w:rPr>
      </w:pPr>
      <w:r>
        <w:rPr>
          <w:rFonts w:hint="eastAsia" w:ascii="仿宋_GB2312" w:hAnsi="宋体" w:eastAsia="仿宋_GB2312" w:cs="宋体"/>
          <w:b/>
          <w:bCs/>
          <w:kern w:val="0"/>
          <w:sz w:val="24"/>
          <w:szCs w:val="24"/>
        </w:rPr>
        <w:t>8、投标保证金</w:t>
      </w:r>
    </w:p>
    <w:p>
      <w:pPr>
        <w:widowControl/>
        <w:shd w:val="clear" w:color="auto" w:fill="FFFFFF"/>
        <w:spacing w:line="315" w:lineRule="atLeast"/>
        <w:ind w:firstLine="480"/>
        <w:jc w:val="left"/>
        <w:rPr>
          <w:rFonts w:ascii="仿宋_GB2312" w:hAnsi="宋体" w:eastAsia="仿宋_GB2312" w:cs="宋体"/>
          <w:kern w:val="0"/>
          <w:sz w:val="24"/>
          <w:szCs w:val="24"/>
        </w:rPr>
      </w:pPr>
      <w:r>
        <w:rPr>
          <w:rFonts w:hint="eastAsia" w:ascii="仿宋_GB2312" w:hAnsi="宋体" w:eastAsia="仿宋_GB2312" w:cs="宋体"/>
          <w:kern w:val="0"/>
          <w:sz w:val="24"/>
          <w:szCs w:val="24"/>
        </w:rPr>
        <w:t>投标人需缴纳投标保证金人民币叁万元，并将缴纳凭证作为附件附在投标文件中。中标单位交纳的保证金转为履约保证金；未中标单位交纳的投标保证金将等额无息退还。投标单位需在投标截止日期前将该保证金汇入招标单位以下账户，截止日期后汇入的视为废标。</w:t>
      </w:r>
    </w:p>
    <w:p>
      <w:pPr>
        <w:widowControl/>
        <w:shd w:val="clear" w:color="auto" w:fill="FFFFFF"/>
        <w:spacing w:line="315" w:lineRule="atLeast"/>
        <w:ind w:firstLine="480"/>
        <w:jc w:val="left"/>
        <w:rPr>
          <w:rFonts w:ascii="仿宋_GB2312" w:hAnsi="宋体" w:eastAsia="仿宋_GB2312" w:cs="宋体"/>
          <w:kern w:val="0"/>
          <w:sz w:val="24"/>
          <w:szCs w:val="24"/>
        </w:rPr>
      </w:pPr>
      <w:r>
        <w:rPr>
          <w:rFonts w:hint="eastAsia" w:ascii="仿宋_GB2312" w:hAnsi="宋体" w:eastAsia="仿宋_GB2312" w:cs="宋体"/>
          <w:kern w:val="0"/>
          <w:sz w:val="24"/>
          <w:szCs w:val="24"/>
        </w:rPr>
        <w:t>户名：海安理工置业有限公司</w:t>
      </w:r>
    </w:p>
    <w:p>
      <w:pPr>
        <w:widowControl/>
        <w:shd w:val="clear" w:color="auto" w:fill="FFFFFF"/>
        <w:spacing w:line="315" w:lineRule="atLeast"/>
        <w:ind w:firstLine="480"/>
        <w:jc w:val="left"/>
        <w:rPr>
          <w:rFonts w:ascii="仿宋_GB2312" w:hAnsi="宋体" w:eastAsia="仿宋_GB2312" w:cs="宋体"/>
          <w:kern w:val="0"/>
          <w:sz w:val="24"/>
          <w:szCs w:val="24"/>
        </w:rPr>
      </w:pPr>
      <w:r>
        <w:rPr>
          <w:rFonts w:hint="eastAsia" w:ascii="仿宋_GB2312" w:hAnsi="宋体" w:eastAsia="仿宋_GB2312" w:cs="宋体"/>
          <w:kern w:val="0"/>
          <w:sz w:val="24"/>
          <w:szCs w:val="24"/>
        </w:rPr>
        <w:t>开户行：海安农商行新生支行</w:t>
      </w:r>
    </w:p>
    <w:p>
      <w:pPr>
        <w:widowControl/>
        <w:shd w:val="clear" w:color="auto" w:fill="FFFFFF"/>
        <w:spacing w:line="315" w:lineRule="atLeast"/>
        <w:ind w:firstLine="480"/>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账号：320621040101000005824 </w:t>
      </w:r>
    </w:p>
    <w:p>
      <w:pPr>
        <w:widowControl/>
        <w:shd w:val="clear" w:color="auto" w:fill="FFFFFF"/>
        <w:spacing w:line="315" w:lineRule="atLeast"/>
        <w:jc w:val="left"/>
        <w:rPr>
          <w:rFonts w:ascii="仿宋_GB2312" w:hAnsi="微软雅黑" w:eastAsia="仿宋_GB2312" w:cs="宋体"/>
          <w:kern w:val="0"/>
          <w:szCs w:val="21"/>
        </w:rPr>
      </w:pPr>
      <w:r>
        <w:rPr>
          <w:rFonts w:hint="eastAsia" w:ascii="仿宋_GB2312" w:hAnsi="宋体" w:eastAsia="仿宋_GB2312" w:cs="宋体"/>
          <w:b/>
          <w:bCs/>
          <w:kern w:val="0"/>
          <w:sz w:val="24"/>
          <w:szCs w:val="24"/>
        </w:rPr>
        <w:t>9、其他说明</w:t>
      </w:r>
    </w:p>
    <w:p>
      <w:pPr>
        <w:widowControl/>
        <w:shd w:val="clear" w:color="auto" w:fill="FFFFFF"/>
        <w:spacing w:line="315" w:lineRule="atLeast"/>
        <w:ind w:firstLine="480"/>
        <w:jc w:val="left"/>
        <w:rPr>
          <w:rFonts w:ascii="仿宋_GB2312" w:hAnsi="微软雅黑" w:eastAsia="仿宋_GB2312" w:cs="宋体"/>
          <w:kern w:val="0"/>
          <w:szCs w:val="21"/>
        </w:rPr>
      </w:pPr>
      <w:r>
        <w:rPr>
          <w:rFonts w:hint="eastAsia" w:ascii="仿宋_GB2312" w:hAnsi="宋体" w:eastAsia="仿宋_GB2312" w:cs="宋体"/>
          <w:kern w:val="0"/>
          <w:sz w:val="24"/>
          <w:szCs w:val="24"/>
        </w:rPr>
        <w:t>投标报名时间截止后，如投标人少于3个，采购人可选择其他方式采购或重新组织招标，也可顺延本项目的投标报名时间、投标截止时间及开标时间并予公告。</w:t>
      </w:r>
    </w:p>
    <w:p>
      <w:pPr>
        <w:widowControl/>
        <w:shd w:val="clear" w:color="auto" w:fill="FFFFFF"/>
        <w:spacing w:line="315" w:lineRule="atLeast"/>
        <w:jc w:val="left"/>
        <w:rPr>
          <w:rFonts w:ascii="仿宋_GB2312" w:hAnsi="微软雅黑" w:eastAsia="仿宋_GB2312" w:cs="宋体"/>
          <w:kern w:val="0"/>
          <w:szCs w:val="21"/>
        </w:rPr>
      </w:pPr>
      <w:r>
        <w:rPr>
          <w:rFonts w:hint="eastAsia" w:ascii="仿宋_GB2312" w:hAnsi="宋体" w:eastAsia="仿宋_GB2312" w:cs="宋体"/>
          <w:b/>
          <w:bCs/>
          <w:kern w:val="0"/>
          <w:sz w:val="24"/>
          <w:szCs w:val="24"/>
        </w:rPr>
        <w:t>11、投标截止时间</w:t>
      </w:r>
    </w:p>
    <w:p>
      <w:pPr>
        <w:widowControl/>
        <w:shd w:val="clear" w:color="auto" w:fill="FFFFFF"/>
        <w:spacing w:line="315" w:lineRule="atLeast"/>
        <w:ind w:firstLine="480"/>
        <w:jc w:val="left"/>
        <w:rPr>
          <w:rFonts w:ascii="仿宋_GB2312" w:hAnsi="微软雅黑" w:eastAsia="仿宋_GB2312" w:cs="宋体"/>
          <w:kern w:val="0"/>
          <w:szCs w:val="21"/>
        </w:rPr>
      </w:pPr>
      <w:r>
        <w:rPr>
          <w:rFonts w:hint="eastAsia" w:ascii="仿宋_GB2312" w:hAnsi="宋体" w:eastAsia="仿宋_GB2312" w:cs="宋体"/>
          <w:kern w:val="0"/>
          <w:sz w:val="24"/>
          <w:szCs w:val="24"/>
        </w:rPr>
        <w:t>2023年3月21日11时00分。</w:t>
      </w:r>
    </w:p>
    <w:p>
      <w:pPr>
        <w:widowControl/>
        <w:shd w:val="clear" w:color="auto" w:fill="FFFFFF"/>
        <w:spacing w:line="315" w:lineRule="atLeast"/>
        <w:jc w:val="left"/>
        <w:rPr>
          <w:rFonts w:ascii="仿宋_GB2312" w:hAnsi="微软雅黑" w:eastAsia="仿宋_GB2312" w:cs="宋体"/>
          <w:kern w:val="0"/>
          <w:szCs w:val="21"/>
        </w:rPr>
      </w:pPr>
      <w:r>
        <w:rPr>
          <w:rFonts w:hint="eastAsia" w:ascii="仿宋_GB2312" w:hAnsi="宋体" w:eastAsia="仿宋_GB2312" w:cs="宋体"/>
          <w:b/>
          <w:bCs/>
          <w:kern w:val="0"/>
          <w:sz w:val="24"/>
          <w:szCs w:val="24"/>
        </w:rPr>
        <w:t>12、通讯方式</w:t>
      </w:r>
    </w:p>
    <w:p>
      <w:pPr>
        <w:widowControl/>
        <w:shd w:val="clear" w:color="auto" w:fill="FFFFFF"/>
        <w:spacing w:line="315" w:lineRule="atLeast"/>
        <w:ind w:firstLine="480"/>
        <w:jc w:val="left"/>
        <w:rPr>
          <w:rFonts w:ascii="仿宋_GB2312" w:hAnsi="微软雅黑" w:eastAsia="仿宋_GB2312" w:cs="宋体"/>
          <w:kern w:val="0"/>
          <w:szCs w:val="21"/>
        </w:rPr>
      </w:pPr>
      <w:r>
        <w:rPr>
          <w:rFonts w:hint="eastAsia" w:ascii="仿宋_GB2312" w:hAnsi="宋体" w:eastAsia="仿宋_GB2312" w:cs="宋体"/>
          <w:kern w:val="0"/>
          <w:sz w:val="24"/>
          <w:szCs w:val="24"/>
        </w:rPr>
        <w:t>与本次招标有关的事宜请按下列通讯方式联系：</w:t>
      </w:r>
    </w:p>
    <w:p>
      <w:pPr>
        <w:widowControl/>
        <w:shd w:val="clear" w:color="auto" w:fill="FFFFFF"/>
        <w:spacing w:line="315" w:lineRule="atLeast"/>
        <w:ind w:firstLine="480"/>
        <w:jc w:val="left"/>
        <w:rPr>
          <w:rFonts w:ascii="仿宋_GB2312" w:hAnsi="微软雅黑" w:eastAsia="仿宋_GB2312" w:cs="宋体"/>
          <w:kern w:val="0"/>
          <w:szCs w:val="21"/>
        </w:rPr>
      </w:pPr>
      <w:r>
        <w:rPr>
          <w:rFonts w:hint="eastAsia" w:ascii="仿宋_GB2312" w:hAnsi="宋体" w:eastAsia="仿宋_GB2312" w:cs="宋体"/>
          <w:kern w:val="0"/>
          <w:sz w:val="24"/>
          <w:szCs w:val="24"/>
        </w:rPr>
        <w:t>联系地址：海安市经济技术开发区南湖大道1号</w:t>
      </w:r>
    </w:p>
    <w:p>
      <w:pPr>
        <w:widowControl/>
        <w:shd w:val="clear" w:color="auto" w:fill="FFFFFF"/>
        <w:spacing w:line="315" w:lineRule="atLeast"/>
        <w:ind w:firstLine="480"/>
        <w:jc w:val="left"/>
        <w:rPr>
          <w:rFonts w:ascii="仿宋_GB2312" w:hAnsi="微软雅黑" w:eastAsia="仿宋_GB2312" w:cs="宋体"/>
          <w:kern w:val="0"/>
          <w:szCs w:val="21"/>
        </w:rPr>
      </w:pPr>
      <w:r>
        <w:rPr>
          <w:rFonts w:hint="eastAsia" w:ascii="仿宋_GB2312" w:hAnsi="宋体" w:eastAsia="仿宋_GB2312" w:cs="宋体"/>
          <w:kern w:val="0"/>
          <w:sz w:val="24"/>
          <w:szCs w:val="24"/>
        </w:rPr>
        <w:t>投标联系人/联系电话：</w:t>
      </w:r>
      <w:r>
        <w:rPr>
          <w:rFonts w:hint="eastAsia" w:ascii="仿宋_GB2312" w:eastAsia="仿宋_GB2312"/>
          <w:color w:val="000000"/>
          <w:sz w:val="24"/>
        </w:rPr>
        <w:t>钱禹丞  18951945935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Yzk3MWQ0MWUwMDVjOTNhYjZkNTMxYWU4ZmRlNTYifQ=="/>
  </w:docVars>
  <w:rsids>
    <w:rsidRoot w:val="004D5D7B"/>
    <w:rsid w:val="00413C72"/>
    <w:rsid w:val="004D5D7B"/>
    <w:rsid w:val="006749DB"/>
    <w:rsid w:val="006F31F9"/>
    <w:rsid w:val="007D1AD4"/>
    <w:rsid w:val="00F06651"/>
    <w:rsid w:val="3487128D"/>
    <w:rsid w:val="72163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907</Words>
  <Characters>991</Characters>
  <Lines>7</Lines>
  <Paragraphs>2</Paragraphs>
  <TotalTime>21</TotalTime>
  <ScaleCrop>false</ScaleCrop>
  <LinksUpToDate>false</LinksUpToDate>
  <CharactersWithSpaces>994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2023-03-03T11:26:00Z</dcterms:created>
  <dc:creator>陈晖</dc:creator>
  <cp:lastModifiedBy>Administrator</cp:lastModifiedBy>
  <dcterms:modified xsi:type="dcterms:W3CDTF">2023-03-14T03:01:26Z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DAA1FCA61BD74D88951D862D24BEC6AE</vt:lpwstr>
  </property>
</Properties>
</file>