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rPr>
          <w:szCs w:val="21"/>
        </w:rPr>
      </w:pPr>
      <w:r>
        <w:rPr>
          <w:rFonts w:hint="eastAsia" w:ascii="宋体" w:hAnsi="宋体" w:cs="宋体"/>
          <w:b/>
          <w:bCs/>
          <w:sz w:val="32"/>
          <w:szCs w:val="32"/>
        </w:rPr>
        <w:t xml:space="preserve">   项目名称：</w:t>
      </w:r>
      <w:r>
        <w:rPr>
          <w:rFonts w:hint="eastAsia"/>
          <w:b/>
          <w:bCs/>
          <w:sz w:val="32"/>
          <w:szCs w:val="32"/>
          <w:lang w:val="en-US" w:eastAsia="zh-CN"/>
        </w:rPr>
        <w:t>健康医学院实验楼</w:t>
      </w:r>
      <w:r>
        <w:rPr>
          <w:rFonts w:hint="eastAsia"/>
          <w:b/>
          <w:bCs/>
          <w:sz w:val="32"/>
          <w:szCs w:val="32"/>
        </w:rPr>
        <w:t>废水处理设备采购项目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（项目编号：ZJ202</w:t>
      </w:r>
      <w:r>
        <w:rPr>
          <w:b/>
          <w:bCs/>
          <w:sz w:val="24"/>
          <w:highlight w:val="none"/>
        </w:rPr>
        <w:t>3</w:t>
      </w:r>
      <w:r>
        <w:rPr>
          <w:rFonts w:hint="eastAsia"/>
          <w:b/>
          <w:bCs/>
          <w:sz w:val="24"/>
          <w:highlight w:val="none"/>
        </w:rPr>
        <w:t>0</w:t>
      </w:r>
      <w:r>
        <w:rPr>
          <w:rFonts w:hint="eastAsia"/>
          <w:b/>
          <w:bCs/>
          <w:sz w:val="24"/>
          <w:highlight w:val="none"/>
          <w:lang w:val="en-US" w:eastAsia="zh-CN"/>
        </w:rPr>
        <w:t>3</w:t>
      </w:r>
      <w:r>
        <w:rPr>
          <w:rFonts w:hint="eastAsia"/>
          <w:b/>
          <w:bCs/>
          <w:sz w:val="24"/>
          <w:highlight w:val="none"/>
        </w:rPr>
        <w:t>06</w:t>
      </w:r>
      <w:r>
        <w:rPr>
          <w:rFonts w:hint="eastAsia"/>
          <w:b/>
          <w:bCs/>
          <w:sz w:val="24"/>
          <w:highlight w:val="none"/>
          <w:lang w:val="en-US" w:eastAsia="zh-CN"/>
        </w:rPr>
        <w:t>7</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 </w:t>
      </w:r>
      <w:r>
        <w:rPr>
          <w:rFonts w:asciiTheme="majorEastAsia" w:hAnsiTheme="majorEastAsia" w:eastAsiaTheme="majorEastAsia" w:cstheme="majorEastAsia"/>
          <w:b/>
          <w:bCs/>
          <w:sz w:val="32"/>
          <w:szCs w:val="32"/>
          <w:highlight w:val="none"/>
        </w:rPr>
        <w:t>03</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29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sz w:val="44"/>
          <w:szCs w:val="44"/>
        </w:rPr>
      </w:pPr>
      <w:r>
        <w:rPr>
          <w:rFonts w:ascii="宋体" w:hAnsi="宋体"/>
          <w:b/>
          <w:bCs/>
          <w:sz w:val="30"/>
          <w:szCs w:val="30"/>
        </w:rPr>
        <w:br w:type="page"/>
      </w:r>
      <w:r>
        <w:rPr>
          <w:rFonts w:hint="eastAsia" w:ascii="宋体" w:hAnsi="宋体"/>
          <w:b/>
          <w:bCs/>
          <w:sz w:val="30"/>
          <w:szCs w:val="30"/>
          <w:lang w:val="en-US" w:eastAsia="zh-CN"/>
        </w:rPr>
        <w:t xml:space="preserve">第一部分 </w:t>
      </w:r>
      <w:r>
        <w:rPr>
          <w:rFonts w:hint="eastAsia" w:ascii="宋体" w:hAnsi="宋体"/>
          <w:b/>
          <w:bCs/>
          <w:sz w:val="30"/>
          <w:szCs w:val="30"/>
        </w:rPr>
        <w:t>招标公告</w:t>
      </w:r>
    </w:p>
    <w:p>
      <w:pPr>
        <w:spacing w:line="400" w:lineRule="exact"/>
        <w:ind w:firstLine="560" w:firstLineChars="200"/>
        <w:rPr>
          <w:rFonts w:ascii="仿宋" w:hAnsi="仿宋" w:eastAsia="仿宋" w:cs="仿宋"/>
          <w:sz w:val="28"/>
          <w:szCs w:val="28"/>
        </w:rPr>
      </w:pPr>
    </w:p>
    <w:p>
      <w:pPr>
        <w:ind w:firstLine="480" w:firstLineChars="200"/>
        <w:rPr>
          <w:rFonts w:ascii="仿宋" w:hAnsi="仿宋" w:eastAsia="仿宋" w:cs="仿宋"/>
          <w:sz w:val="24"/>
        </w:rPr>
      </w:pPr>
      <w:r>
        <w:rPr>
          <w:rFonts w:hint="eastAsia" w:ascii="仿宋" w:hAnsi="仿宋" w:eastAsia="仿宋" w:cs="仿宋"/>
          <w:sz w:val="24"/>
        </w:rPr>
        <w:t>根据国家采购与招投标法律法规的有关规定，南通理工学院对南通理工学院医学实验楼废水处理设备采购项目进行公开招标，欢迎具备相应资质和实力的投标单位参加投标。现将有关事项公告如下：</w:t>
      </w:r>
    </w:p>
    <w:p>
      <w:pPr>
        <w:spacing w:line="360" w:lineRule="exact"/>
        <w:ind w:left="10" w:firstLine="540" w:firstLineChars="225"/>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1、项目名称：南通理工学院医学实验楼废水处理设备采购项目。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健康医学院项目工地</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eastAsia="zh-CN"/>
        </w:rPr>
        <w:t>初</w:t>
      </w:r>
      <w:r>
        <w:rPr>
          <w:rFonts w:hint="eastAsia" w:ascii="仿宋" w:hAnsi="仿宋" w:eastAsia="仿宋" w:cs="仿宋"/>
          <w:sz w:val="24"/>
          <w:highlight w:val="none"/>
        </w:rPr>
        <w:t>进场，2023年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月底安装完成。</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2" w:firstLineChars="200"/>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 xml:space="preserve"> 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、具有良好的商业信誉和健全的财务会计制度，提供距开标时间六个月内任意一月份的财务状况报告（至少包括资产负债表或利润表）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、有依法缴纳税收的良好记录，提供距开标时间六个月内任意一月份的纳税凭据复印件加盖公章（依法免税的应提供相应文件说明）。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333333"/>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sz w:val="24"/>
          <w:highlight w:val="none"/>
        </w:rPr>
        <w:t>人民币</w:t>
      </w:r>
      <w:r>
        <w:rPr>
          <w:rFonts w:hint="eastAsia" w:ascii="仿宋" w:hAnsi="仿宋" w:eastAsia="仿宋" w:cs="仿宋"/>
          <w:sz w:val="24"/>
          <w:highlight w:val="none"/>
          <w:lang w:val="en-US" w:eastAsia="zh-CN"/>
        </w:rPr>
        <w:t>300</w:t>
      </w:r>
      <w:r>
        <w:rPr>
          <w:rFonts w:hint="eastAsia" w:ascii="仿宋" w:hAnsi="仿宋" w:eastAsia="仿宋" w:cs="仿宋"/>
          <w:sz w:val="24"/>
          <w:highlight w:val="none"/>
        </w:rPr>
        <w:t>元（支付宝，支付宝账号：13813609710。报名前缴纳，售后不退）。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人民币</w:t>
      </w:r>
      <w:r>
        <w:rPr>
          <w:rFonts w:hint="eastAsia" w:ascii="仿宋" w:hAnsi="仿宋" w:eastAsia="仿宋" w:cs="仿宋"/>
          <w:sz w:val="24"/>
          <w:highlight w:val="none"/>
          <w:lang w:val="en-US" w:eastAsia="zh-CN"/>
        </w:rPr>
        <w:t>20000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日11时00分前将“报名投标确认函”（格式见招标文件第五部分）填写完整后扫描+投保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（1）投标文件接收地点：南通理工学院资产与基建处行政楼208办公室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资产与基建处资产管理中心</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资产与基建处招标采购中心</w:t>
      </w:r>
      <w:r>
        <w:rPr>
          <w:rFonts w:hint="eastAsia" w:ascii="仿宋" w:hAnsi="仿宋" w:eastAsia="仿宋" w:cs="仿宋"/>
          <w:kern w:val="2"/>
          <w:sz w:val="24"/>
          <w:szCs w:val="24"/>
          <w:lang w:val="en-US" w:eastAsia="zh-CN"/>
        </w:rPr>
        <w:t>208</w:t>
      </w:r>
      <w:r>
        <w:rPr>
          <w:rFonts w:hint="eastAsia" w:ascii="仿宋" w:hAnsi="仿宋" w:eastAsia="仿宋" w:cs="仿宋"/>
          <w:kern w:val="2"/>
          <w:sz w:val="24"/>
          <w:szCs w:val="24"/>
        </w:rPr>
        <w:t>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pStyle w:val="12"/>
        <w:widowControl/>
        <w:spacing w:beforeAutospacing="0" w:afterAutospacing="0" w:line="360" w:lineRule="exact"/>
        <w:rPr>
          <w:rFonts w:hint="eastAsia" w:ascii="仿宋" w:hAnsi="仿宋" w:eastAsia="仿宋" w:cs="仿宋"/>
          <w:kern w:val="2"/>
          <w:sz w:val="24"/>
          <w:szCs w:val="24"/>
          <w:u w:val="none"/>
          <w:lang w:val="en-US" w:eastAsia="zh-CN"/>
        </w:rPr>
      </w:pPr>
      <w:r>
        <w:rPr>
          <w:rFonts w:hint="eastAsia" w:ascii="仿宋" w:hAnsi="仿宋" w:eastAsia="仿宋" w:cs="仿宋"/>
          <w:kern w:val="2"/>
        </w:rPr>
        <w:t>现场勘查联系方式：</w:t>
      </w:r>
      <w:r>
        <w:rPr>
          <w:rFonts w:hint="eastAsia" w:ascii="仿宋" w:hAnsi="仿宋" w:eastAsia="仿宋" w:cs="仿宋"/>
          <w:kern w:val="2"/>
          <w:u w:val="none"/>
          <w:lang w:val="en-US" w:eastAsia="zh-CN"/>
        </w:rPr>
        <w:t xml:space="preserve">周老师 </w:t>
      </w:r>
      <w:r>
        <w:rPr>
          <w:rFonts w:hint="eastAsia" w:ascii="仿宋" w:hAnsi="仿宋" w:eastAsia="仿宋" w:cs="仿宋"/>
          <w:kern w:val="2"/>
          <w:sz w:val="24"/>
          <w:szCs w:val="24"/>
          <w:u w:val="none"/>
          <w:lang w:val="en-US" w:eastAsia="zh-CN"/>
        </w:rPr>
        <w:t>13912207728</w:t>
      </w:r>
    </w:p>
    <w:p>
      <w:pPr>
        <w:snapToGrid w:val="0"/>
        <w:spacing w:line="360" w:lineRule="exact"/>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rPr>
        <w:t>技术联系人及方式：</w:t>
      </w:r>
      <w:r>
        <w:rPr>
          <w:rFonts w:hint="eastAsia" w:ascii="仿宋" w:hAnsi="仿宋" w:eastAsia="仿宋" w:cs="仿宋"/>
          <w:kern w:val="2"/>
          <w:sz w:val="24"/>
          <w:szCs w:val="24"/>
          <w:lang w:val="en-US" w:eastAsia="zh-CN" w:bidi="ar-SA"/>
        </w:rPr>
        <w:t>曹老师 18951411193</w:t>
      </w:r>
    </w:p>
    <w:p>
      <w:pPr>
        <w:snapToGrid w:val="0"/>
        <w:spacing w:line="360" w:lineRule="exact"/>
        <w:jc w:val="left"/>
      </w:pPr>
      <w:r>
        <w:rPr>
          <w:rFonts w:hint="eastAsia" w:ascii="仿宋" w:hAnsi="仿宋" w:eastAsia="仿宋" w:cs="仿宋"/>
          <w:sz w:val="24"/>
        </w:rPr>
        <w:t>监督联系人及电话：蔡老师0513-85301108</w:t>
      </w:r>
      <w:r>
        <w:rPr>
          <w:rFonts w:hint="eastAsia" w:ascii="仿宋" w:hAnsi="仿宋" w:eastAsia="仿宋" w:cs="仿宋"/>
          <w:sz w:val="24"/>
          <w:lang w:val="en-US" w:eastAsia="zh-CN"/>
        </w:rPr>
        <w:t xml:space="preserve"> </w:t>
      </w:r>
      <w:r>
        <w:rPr>
          <w:rFonts w:hint="eastAsia" w:ascii="仿宋" w:hAnsi="仿宋" w:eastAsia="仿宋" w:cs="仿宋"/>
          <w:sz w:val="24"/>
        </w:rPr>
        <w:t xml:space="preserve">13813609710 </w:t>
      </w:r>
    </w:p>
    <w:p>
      <w:pPr>
        <w:pStyle w:val="12"/>
        <w:widowControl/>
        <w:spacing w:beforeAutospacing="0" w:afterAutospacing="0" w:line="360" w:lineRule="exact"/>
        <w:rPr>
          <w:color w:val="FF0000"/>
        </w:rPr>
      </w:pPr>
      <w:r>
        <w:rPr>
          <w:rFonts w:hint="eastAsia" w:ascii="仿宋" w:hAnsi="仿宋" w:eastAsia="仿宋" w:cs="仿宋"/>
          <w:color w:val="FF0000"/>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）法定代表人及授权代表身份证复印件或其他相关证明</w:t>
      </w:r>
    </w:p>
    <w:p>
      <w:pPr>
        <w:spacing w:line="360" w:lineRule="auto"/>
        <w:ind w:firstLine="480" w:firstLineChars="200"/>
        <w:rPr>
          <w:sz w:val="24"/>
        </w:rPr>
      </w:pPr>
      <w:r>
        <w:rPr>
          <w:rFonts w:hint="eastAsia"/>
          <w:sz w:val="24"/>
        </w:rPr>
        <w:t>（</w:t>
      </w:r>
      <w:r>
        <w:rPr>
          <w:sz w:val="24"/>
        </w:rPr>
        <w:t>5</w:t>
      </w:r>
      <w:r>
        <w:rPr>
          <w:rFonts w:hint="eastAsia"/>
          <w:sz w:val="24"/>
        </w:rPr>
        <w:t>）投标人近三年内无行贿犯罪违法记录声明</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rFonts w:hint="eastAsia" w:ascii="Times New Roman" w:hAnsi="Times New Roman" w:cs="Times New Roman"/>
          <w:color w:val="0000FF"/>
          <w:sz w:val="24"/>
          <w:lang w:val="en-US" w:eastAsia="zh-CN"/>
        </w:rPr>
      </w:pPr>
      <w:r>
        <w:rPr>
          <w:rFonts w:hint="eastAsia" w:ascii="Times New Roman" w:hAnsi="Times New Roman" w:cs="Times New Roman"/>
          <w:color w:val="0000FF"/>
          <w:sz w:val="24"/>
        </w:rPr>
        <w:t>（4）</w:t>
      </w:r>
      <w:r>
        <w:rPr>
          <w:rFonts w:hint="eastAsia" w:ascii="Times New Roman" w:hAnsi="Times New Roman" w:cs="Times New Roman"/>
          <w:color w:val="0000FF"/>
          <w:sz w:val="24"/>
          <w:lang w:val="en-US" w:eastAsia="zh-CN"/>
        </w:rPr>
        <w:t>完整的系统施工图纸及配套BIM演示图（投标单位可根据图纸进行优化）</w:t>
      </w:r>
    </w:p>
    <w:p>
      <w:pPr>
        <w:spacing w:line="360" w:lineRule="auto"/>
        <w:ind w:firstLine="480" w:firstLineChars="200"/>
        <w:rPr>
          <w:rFonts w:hint="default" w:ascii="Times New Roman" w:hAnsi="Times New Roman" w:cs="Times New Roman"/>
          <w:color w:val="0000FF"/>
          <w:sz w:val="24"/>
          <w:lang w:val="en-US" w:eastAsia="zh-CN"/>
        </w:rPr>
      </w:pPr>
      <w:r>
        <w:rPr>
          <w:rFonts w:hint="eastAsia" w:ascii="Times New Roman" w:hAnsi="Times New Roman" w:cs="Times New Roman"/>
          <w:color w:val="0000FF"/>
          <w:sz w:val="24"/>
          <w:lang w:val="en-US" w:eastAsia="zh-CN"/>
        </w:rPr>
        <w:t>（5）项目施工进度表及与土建单位配套工作内容（提供交接工作面明细）；与配套实验室建设项目施工进度表</w:t>
      </w:r>
    </w:p>
    <w:p>
      <w:pPr>
        <w:spacing w:line="360" w:lineRule="auto"/>
        <w:ind w:firstLine="480" w:firstLineChars="200"/>
        <w:rPr>
          <w:sz w:val="24"/>
        </w:rPr>
      </w:pPr>
      <w:r>
        <w:rPr>
          <w:rFonts w:hint="eastAsia"/>
          <w:sz w:val="24"/>
        </w:rPr>
        <w:t>（</w:t>
      </w:r>
      <w:r>
        <w:rPr>
          <w:sz w:val="24"/>
        </w:rPr>
        <w:t>6</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7</w:t>
      </w:r>
      <w:r>
        <w:rPr>
          <w:rFonts w:hint="eastAsia"/>
          <w:sz w:val="24"/>
        </w:rPr>
        <w:t>）供应商近三年以来与本次招标货物同类产品的销售业绩（</w:t>
      </w:r>
      <w:r>
        <w:rPr>
          <w:rFonts w:hint="eastAsia"/>
          <w:sz w:val="24"/>
          <w:lang w:val="en-US" w:eastAsia="zh-CN"/>
        </w:rPr>
        <w:t>6</w:t>
      </w:r>
      <w:r>
        <w:rPr>
          <w:rFonts w:hint="eastAsia"/>
          <w:sz w:val="24"/>
        </w:rPr>
        <w:t>套合同复印件，原件备查）</w:t>
      </w:r>
    </w:p>
    <w:p>
      <w:pPr>
        <w:spacing w:line="360" w:lineRule="auto"/>
        <w:ind w:firstLine="480" w:firstLineChars="200"/>
        <w:rPr>
          <w:b/>
          <w:sz w:val="24"/>
        </w:rPr>
      </w:pPr>
      <w:r>
        <w:rPr>
          <w:rFonts w:hint="eastAsia"/>
          <w:sz w:val="24"/>
          <w:lang w:eastAsia="zh-CN"/>
        </w:rPr>
        <w:t>（</w:t>
      </w:r>
      <w:r>
        <w:rPr>
          <w:rFonts w:hint="eastAsia"/>
          <w:sz w:val="24"/>
          <w:lang w:val="en-US" w:eastAsia="zh-CN"/>
        </w:rPr>
        <w:t>8</w:t>
      </w:r>
      <w:r>
        <w:rPr>
          <w:rFonts w:hint="eastAsia"/>
          <w:sz w:val="24"/>
          <w:lang w:eastAsia="zh-CN"/>
        </w:rPr>
        <w:t>）</w:t>
      </w:r>
      <w:r>
        <w:rPr>
          <w:rFonts w:hint="eastAsia"/>
          <w:sz w:val="24"/>
        </w:rPr>
        <w:t>投标产品宣传彩页、合格文件、技术资料等</w:t>
      </w:r>
    </w:p>
    <w:p>
      <w:pPr>
        <w:spacing w:line="360" w:lineRule="auto"/>
        <w:ind w:firstLine="480" w:firstLineChars="200"/>
        <w:rPr>
          <w:b/>
          <w:sz w:val="24"/>
        </w:rPr>
      </w:pPr>
      <w:r>
        <w:rPr>
          <w:rFonts w:hint="eastAsia"/>
          <w:sz w:val="24"/>
          <w:lang w:eastAsia="zh-CN"/>
        </w:rPr>
        <w:t>（</w:t>
      </w:r>
      <w:r>
        <w:rPr>
          <w:rFonts w:hint="eastAsia"/>
          <w:sz w:val="24"/>
          <w:lang w:val="en-US" w:eastAsia="zh-CN"/>
        </w:rPr>
        <w:t>9</w:t>
      </w:r>
      <w:r>
        <w:rPr>
          <w:rFonts w:hint="eastAsia"/>
          <w:sz w:val="24"/>
          <w:lang w:eastAsia="zh-CN"/>
        </w:rPr>
        <w:t>）</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行政楼208</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逾期送达或未送达指定地点以及未按询价文件要求密封的投标文件，潜在投标人须自行承担相应风险。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ind w:firstLine="480" w:firstLineChars="200"/>
        <w:rPr>
          <w:sz w:val="24"/>
        </w:rPr>
      </w:pPr>
    </w:p>
    <w:p>
      <w:pPr>
        <w:pageBreakBefore/>
        <w:spacing w:line="360" w:lineRule="auto"/>
        <w:ind w:firstLine="643" w:firstLineChars="200"/>
        <w:jc w:val="center"/>
        <w:rPr>
          <w:b/>
          <w:bCs/>
          <w:sz w:val="32"/>
          <w:szCs w:val="32"/>
        </w:rPr>
      </w:pPr>
      <w:r>
        <w:rPr>
          <w:rFonts w:hint="eastAsia"/>
          <w:b/>
          <w:bCs/>
          <w:sz w:val="32"/>
          <w:szCs w:val="32"/>
        </w:rPr>
        <w:t>第三部分 评标</w:t>
      </w:r>
    </w:p>
    <w:p>
      <w:pPr>
        <w:spacing w:line="360" w:lineRule="auto"/>
        <w:ind w:firstLine="480" w:firstLineChars="200"/>
        <w:rPr>
          <w:sz w:val="24"/>
        </w:rPr>
      </w:pPr>
      <w:r>
        <w:rPr>
          <w:rFonts w:hint="eastAsia"/>
          <w:bCs/>
          <w:sz w:val="24"/>
        </w:rPr>
        <w:t>一、</w:t>
      </w:r>
      <w:r>
        <w:rPr>
          <w:bCs/>
          <w:sz w:val="24"/>
        </w:rPr>
        <w:t xml:space="preserve"> </w:t>
      </w:r>
      <w:r>
        <w:rPr>
          <w:rFonts w:hint="eastAsia"/>
          <w:sz w:val="24"/>
        </w:rPr>
        <w:t>招标人按规定的时间和地点进行公开开标，</w:t>
      </w:r>
      <w:r>
        <w:rPr>
          <w:rFonts w:hint="eastAsia"/>
          <w:b/>
          <w:bCs/>
          <w:sz w:val="24"/>
        </w:rPr>
        <w:t>投标人根据招标人通知可派代表（持授权代表身份证明）</w:t>
      </w:r>
      <w:r>
        <w:rPr>
          <w:rFonts w:hint="eastAsia" w:ascii="Times New Roman" w:hAnsi="Times New Roman" w:eastAsia="宋体" w:cs="Times New Roman"/>
          <w:b/>
          <w:bCs/>
          <w:sz w:val="24"/>
        </w:rPr>
        <w:t>参加。投标人未派代表参加开标的，视为默认接受开标结果。</w:t>
      </w:r>
    </w:p>
    <w:p>
      <w:pPr>
        <w:spacing w:line="360" w:lineRule="auto"/>
        <w:ind w:firstLine="480" w:firstLineChars="200"/>
        <w:rPr>
          <w:bCs/>
          <w:sz w:val="24"/>
        </w:rPr>
      </w:pPr>
      <w:r>
        <w:rPr>
          <w:rFonts w:hint="eastAsia"/>
          <w:bCs/>
          <w:sz w:val="24"/>
        </w:rPr>
        <w:t>二、</w:t>
      </w:r>
      <w:r>
        <w:rPr>
          <w:bCs/>
          <w:sz w:val="24"/>
        </w:rPr>
        <w:t xml:space="preserve"> </w:t>
      </w:r>
      <w:r>
        <w:rPr>
          <w:rFonts w:hint="eastAsia" w:ascii="宋体"/>
          <w:bCs/>
          <w:sz w:val="24"/>
          <w:lang w:val="zh-CN"/>
        </w:rPr>
        <w:t>开标时，</w:t>
      </w:r>
      <w:r>
        <w:rPr>
          <w:rFonts w:hint="eastAsia"/>
          <w:bCs/>
          <w:sz w:val="24"/>
        </w:rPr>
        <w:t>现场检查投标文件的密封情况，经确认无误后，由工作人员当众拆封，宣读投标人名称、投标价格、交货期等投标文件的主要内容。</w:t>
      </w:r>
    </w:p>
    <w:p>
      <w:pPr>
        <w:spacing w:line="360" w:lineRule="auto"/>
        <w:ind w:firstLine="480" w:firstLineChars="200"/>
        <w:rPr>
          <w:bCs/>
          <w:sz w:val="24"/>
        </w:rPr>
      </w:pPr>
      <w:r>
        <w:rPr>
          <w:rFonts w:hint="eastAsia"/>
          <w:bCs/>
          <w:sz w:val="24"/>
        </w:rPr>
        <w:t>三、</w:t>
      </w:r>
      <w:r>
        <w:rPr>
          <w:bCs/>
          <w:sz w:val="24"/>
        </w:rPr>
        <w:t xml:space="preserve"> </w:t>
      </w:r>
      <w:r>
        <w:rPr>
          <w:rFonts w:hint="eastAsia"/>
          <w:bCs/>
          <w:sz w:val="24"/>
        </w:rPr>
        <w:t>招标人组织用户代表和</w:t>
      </w:r>
      <w:r>
        <w:rPr>
          <w:rFonts w:hint="eastAsia" w:ascii="宋体"/>
          <w:bCs/>
          <w:sz w:val="24"/>
          <w:lang w:val="zh-CN"/>
        </w:rPr>
        <w:t>有关技术、经济方面的</w:t>
      </w:r>
      <w:r>
        <w:rPr>
          <w:rFonts w:hint="eastAsia"/>
          <w:bCs/>
          <w:sz w:val="24"/>
        </w:rPr>
        <w:t>专家组成评标小组进行评标。</w:t>
      </w:r>
    </w:p>
    <w:p>
      <w:pPr>
        <w:spacing w:line="360" w:lineRule="auto"/>
        <w:ind w:firstLine="480" w:firstLineChars="200"/>
        <w:rPr>
          <w:bCs/>
          <w:sz w:val="24"/>
        </w:rPr>
      </w:pPr>
      <w:r>
        <w:rPr>
          <w:rFonts w:hint="eastAsia"/>
          <w:bCs/>
          <w:sz w:val="24"/>
        </w:rPr>
        <w:t>四、</w:t>
      </w:r>
      <w:r>
        <w:rPr>
          <w:bCs/>
          <w:sz w:val="24"/>
        </w:rPr>
        <w:t xml:space="preserve"> </w:t>
      </w:r>
      <w:r>
        <w:rPr>
          <w:rFonts w:hint="eastAsia"/>
          <w:bCs/>
          <w:sz w:val="24"/>
        </w:rPr>
        <w:t>在详细评标之前，招标人和评委要对投标人的</w:t>
      </w:r>
      <w:r>
        <w:rPr>
          <w:rFonts w:hint="eastAsia" w:ascii="宋体" w:hAnsi="宋体"/>
          <w:bCs/>
          <w:sz w:val="24"/>
        </w:rPr>
        <w:t>投标资格以</w:t>
      </w:r>
      <w:r>
        <w:rPr>
          <w:rFonts w:hint="eastAsia"/>
          <w:bCs/>
          <w:sz w:val="24"/>
        </w:rPr>
        <w:t>及投标是否对招标文件的实质性要求和条件做出响应进行审查。</w:t>
      </w:r>
    </w:p>
    <w:p>
      <w:pPr>
        <w:spacing w:line="360" w:lineRule="auto"/>
        <w:ind w:firstLine="480" w:firstLineChars="200"/>
        <w:rPr>
          <w:bCs/>
          <w:sz w:val="24"/>
        </w:rPr>
      </w:pPr>
      <w:r>
        <w:rPr>
          <w:rFonts w:hint="eastAsia"/>
          <w:bCs/>
          <w:sz w:val="24"/>
        </w:rPr>
        <w:t>五、</w:t>
      </w:r>
      <w:r>
        <w:rPr>
          <w:bCs/>
          <w:sz w:val="24"/>
        </w:rPr>
        <w:t xml:space="preserve"> </w:t>
      </w:r>
      <w:r>
        <w:rPr>
          <w:rFonts w:hint="eastAsia"/>
          <w:bCs/>
          <w:sz w:val="24"/>
        </w:rPr>
        <w:t>对招标文件的实质性要求和条件做出响应的投标应该是与招标文件要求的全部条款、条件、指标和规格相符，没有重大偏离的投标。招标人和评委判定投标的响应性质根据投标本身的内容，而不寻求外部的证据，投标人不得通过修正或撤销不符合要求的偏离从而使其投标成为实质上响应的投标。</w:t>
      </w:r>
    </w:p>
    <w:p>
      <w:pPr>
        <w:spacing w:line="353" w:lineRule="auto"/>
        <w:ind w:firstLine="480" w:firstLineChars="200"/>
        <w:rPr>
          <w:bCs/>
          <w:sz w:val="24"/>
        </w:rPr>
      </w:pPr>
      <w:r>
        <w:rPr>
          <w:rFonts w:hint="eastAsia"/>
          <w:bCs/>
          <w:sz w:val="24"/>
        </w:rPr>
        <w:t>六、</w:t>
      </w:r>
      <w:r>
        <w:rPr>
          <w:bCs/>
          <w:sz w:val="24"/>
        </w:rPr>
        <w:t xml:space="preserve"> </w:t>
      </w:r>
      <w:r>
        <w:rPr>
          <w:rFonts w:hint="eastAsia"/>
          <w:bCs/>
          <w:sz w:val="24"/>
        </w:rPr>
        <w:t>评标小组认为有必要时，将要求投标人述标或对投标文件中某些内容作出澄清或说明，但不接受投标人主动提出的澄清和说明。</w:t>
      </w:r>
    </w:p>
    <w:p>
      <w:pPr>
        <w:spacing w:line="353" w:lineRule="auto"/>
        <w:ind w:firstLine="480" w:firstLineChars="200"/>
        <w:rPr>
          <w:bCs/>
          <w:sz w:val="24"/>
        </w:rPr>
      </w:pPr>
      <w:r>
        <w:rPr>
          <w:rFonts w:hint="eastAsia"/>
          <w:bCs/>
          <w:sz w:val="24"/>
        </w:rPr>
        <w:t>七、</w:t>
      </w:r>
      <w:r>
        <w:rPr>
          <w:bCs/>
          <w:sz w:val="24"/>
        </w:rPr>
        <w:t xml:space="preserve"> </w:t>
      </w:r>
      <w:r>
        <w:rPr>
          <w:rFonts w:hint="eastAsia"/>
          <w:bCs/>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八、评标方法及评分标准</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jc w:val="center"/>
        <w:rPr>
          <w:rFonts w:ascii="宋体"/>
          <w:bCs/>
          <w:color w:val="auto"/>
          <w:sz w:val="24"/>
        </w:rPr>
      </w:pPr>
      <w:r>
        <w:rPr>
          <w:b/>
          <w:sz w:val="24"/>
        </w:rPr>
        <w:br w:type="page"/>
      </w:r>
      <w:r>
        <w:rPr>
          <w:rFonts w:hint="eastAsia" w:ascii="宋体" w:hAnsi="宋体"/>
          <w:b/>
          <w:color w:val="auto"/>
          <w:sz w:val="24"/>
        </w:rPr>
        <w:t>评分标准</w:t>
      </w:r>
    </w:p>
    <w:tbl>
      <w:tblPr>
        <w:tblStyle w:val="13"/>
        <w:tblW w:w="10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650"/>
        <w:gridCol w:w="1675"/>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spacing w:line="360" w:lineRule="auto"/>
              <w:jc w:val="center"/>
              <w:rPr>
                <w:rFonts w:ascii="宋体" w:hAnsi="宋体" w:cs="宋体"/>
                <w:b/>
                <w:bCs/>
                <w:color w:val="auto"/>
                <w:szCs w:val="21"/>
              </w:rPr>
            </w:pPr>
            <w:bookmarkStart w:id="0" w:name="_Hlk25755530"/>
            <w:r>
              <w:rPr>
                <w:rFonts w:hint="eastAsia" w:ascii="宋体" w:hAnsi="宋体" w:cs="宋体"/>
                <w:b/>
                <w:bCs/>
                <w:color w:val="auto"/>
                <w:szCs w:val="21"/>
              </w:rPr>
              <w:t>评审因素</w:t>
            </w:r>
          </w:p>
        </w:tc>
        <w:tc>
          <w:tcPr>
            <w:tcW w:w="650"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分值</w:t>
            </w:r>
          </w:p>
        </w:tc>
        <w:tc>
          <w:tcPr>
            <w:tcW w:w="9066" w:type="dxa"/>
            <w:gridSpan w:val="2"/>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6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价格分</w:t>
            </w:r>
          </w:p>
        </w:tc>
        <w:tc>
          <w:tcPr>
            <w:tcW w:w="650" w:type="dxa"/>
            <w:vAlign w:val="center"/>
          </w:tcPr>
          <w:p>
            <w:pPr>
              <w:spacing w:line="360" w:lineRule="auto"/>
              <w:jc w:val="cente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0</w:t>
            </w:r>
          </w:p>
        </w:tc>
        <w:tc>
          <w:tcPr>
            <w:tcW w:w="9066" w:type="dxa"/>
            <w:gridSpan w:val="2"/>
            <w:vAlign w:val="center"/>
          </w:tcPr>
          <w:p>
            <w:pPr>
              <w:ind w:left="-2" w:leftChars="-1" w:firstLine="420" w:firstLineChars="200"/>
              <w:rPr>
                <w:rFonts w:hint="eastAsia"/>
                <w:color w:val="auto"/>
              </w:rPr>
            </w:pPr>
            <w:r>
              <w:rPr>
                <w:rFonts w:hint="eastAsia"/>
                <w:color w:val="auto"/>
              </w:rPr>
              <w:t>采用算术平均价法：</w:t>
            </w:r>
          </w:p>
          <w:p>
            <w:pPr>
              <w:spacing w:line="240" w:lineRule="auto"/>
              <w:ind w:left="-2" w:leftChars="-1" w:firstLine="420" w:firstLineChars="200"/>
              <w:rPr>
                <w:rFonts w:hint="eastAsia" w:ascii="宋体" w:hAnsi="宋体" w:eastAsia="宋体" w:cs="宋体"/>
                <w:color w:val="auto"/>
              </w:rPr>
            </w:pPr>
            <w:r>
              <w:rPr>
                <w:rFonts w:hint="eastAsia" w:ascii="宋体" w:hAnsi="宋体" w:eastAsia="宋体" w:cs="宋体"/>
                <w:color w:val="auto"/>
              </w:rPr>
              <w:t>所有有效投标报价的算术平均值作为评标基准价，等于评标基准价的得基本分</w:t>
            </w:r>
            <w:r>
              <w:rPr>
                <w:rFonts w:hint="eastAsia" w:ascii="宋体" w:hAnsi="宋体" w:cs="宋体"/>
                <w:color w:val="auto"/>
                <w:lang w:val="en-US" w:eastAsia="zh-CN"/>
              </w:rPr>
              <w:t>30</w:t>
            </w:r>
            <w:r>
              <w:rPr>
                <w:rFonts w:hint="eastAsia" w:ascii="宋体" w:hAnsi="宋体" w:eastAsia="宋体" w:cs="宋体"/>
                <w:color w:val="auto"/>
              </w:rPr>
              <w:t>分。投标人的投标报价每高于评标基准价2%扣1分，扣完为止。投标人的投标报价每低于评标基准价2%加1分，最多加</w:t>
            </w:r>
            <w:r>
              <w:rPr>
                <w:rFonts w:hint="eastAsia" w:ascii="宋体" w:hAnsi="宋体" w:eastAsia="宋体" w:cs="宋体"/>
                <w:color w:val="auto"/>
                <w:lang w:val="en-US" w:eastAsia="zh-CN"/>
              </w:rPr>
              <w:t>10</w:t>
            </w:r>
            <w:r>
              <w:rPr>
                <w:rFonts w:hint="eastAsia" w:ascii="宋体" w:hAnsi="宋体" w:eastAsia="宋体" w:cs="宋体"/>
                <w:color w:val="auto"/>
              </w:rPr>
              <w:t>分。中间插值计算。</w:t>
            </w:r>
          </w:p>
          <w:p>
            <w:pPr>
              <w:rPr>
                <w:rFonts w:ascii="宋体" w:hAnsi="宋体" w:cs="等线"/>
                <w:color w:val="auto"/>
                <w:szCs w:val="21"/>
              </w:rPr>
            </w:pPr>
            <w:r>
              <w:rPr>
                <w:rFonts w:hint="eastAsia" w:ascii="宋体" w:hAnsi="宋体" w:eastAsia="宋体" w:cs="宋体"/>
                <w:color w:val="auto"/>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066"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技术分</w:t>
            </w:r>
          </w:p>
        </w:tc>
        <w:tc>
          <w:tcPr>
            <w:tcW w:w="650" w:type="dxa"/>
            <w:vMerge w:val="restart"/>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35</w:t>
            </w:r>
          </w:p>
        </w:tc>
        <w:tc>
          <w:tcPr>
            <w:tcW w:w="1675" w:type="dxa"/>
            <w:vAlign w:val="center"/>
          </w:tcPr>
          <w:p>
            <w:pPr>
              <w:jc w:val="center"/>
              <w:rPr>
                <w:color w:val="auto"/>
                <w:szCs w:val="21"/>
              </w:rPr>
            </w:pPr>
            <w:r>
              <w:rPr>
                <w:rFonts w:hint="eastAsia" w:ascii="宋体" w:hAnsi="宋体"/>
                <w:color w:val="auto"/>
                <w:spacing w:val="6"/>
                <w:sz w:val="20"/>
                <w:szCs w:val="20"/>
              </w:rPr>
              <w:t>技术响应</w:t>
            </w:r>
            <w:r>
              <w:rPr>
                <w:rFonts w:hint="eastAsia" w:ascii="宋体" w:hAnsi="宋体" w:cs="宋体"/>
                <w:color w:val="auto"/>
                <w:szCs w:val="21"/>
              </w:rPr>
              <w:t>（</w:t>
            </w:r>
            <w:r>
              <w:rPr>
                <w:rFonts w:ascii="宋体" w:hAnsi="宋体" w:cs="宋体"/>
                <w:color w:val="auto"/>
                <w:szCs w:val="21"/>
              </w:rPr>
              <w:t>20</w:t>
            </w:r>
            <w:r>
              <w:rPr>
                <w:rFonts w:hint="eastAsia" w:ascii="宋体" w:hAnsi="宋体" w:cs="宋体"/>
                <w:color w:val="auto"/>
                <w:szCs w:val="21"/>
              </w:rPr>
              <w:t>）</w:t>
            </w:r>
          </w:p>
        </w:tc>
        <w:tc>
          <w:tcPr>
            <w:tcW w:w="7391" w:type="dxa"/>
            <w:vAlign w:val="center"/>
          </w:tcPr>
          <w:p>
            <w:pPr>
              <w:adjustRightInd w:val="0"/>
              <w:snapToGrid w:val="0"/>
            </w:pPr>
            <w:r>
              <w:rPr>
                <w:rFonts w:hint="eastAsia"/>
              </w:rPr>
              <w:t>1</w:t>
            </w:r>
            <w:r>
              <w:t>.</w:t>
            </w:r>
            <w:r>
              <w:rPr>
                <w:rFonts w:hint="eastAsia"/>
              </w:rPr>
              <w:t>根据供应商的技术指标对招标文件的偏离度进行打分，具体由评委根据供应商的投标文件中《技术偏离表》及相关证明资料评审。招标文件中标注“★”的内容为实质性要求，有一项不符合的，作无效投标处理；其余参数符合或优于招标文件基本要求</w:t>
            </w:r>
            <w:r>
              <w:rPr>
                <w:rFonts w:hint="eastAsia"/>
                <w:lang w:eastAsia="zh-CN"/>
              </w:rPr>
              <w:t>的</w:t>
            </w:r>
            <w:r>
              <w:rPr>
                <w:rFonts w:hint="eastAsia"/>
              </w:rPr>
              <w:t>基准分</w:t>
            </w:r>
            <w:r>
              <w:t>20</w:t>
            </w:r>
            <w:r>
              <w:rPr>
                <w:rFonts w:hint="eastAsia"/>
              </w:rPr>
              <w:t>分；招标文件中标注“▲”号的技术参数，每有一项负偏离扣3分；其余技术参数负偏离的，每项扣1分；扣完为止。</w:t>
            </w:r>
          </w:p>
          <w:p>
            <w:pPr>
              <w:adjustRightInd w:val="0"/>
              <w:snapToGrid w:val="0"/>
              <w:rPr>
                <w:rFonts w:hint="eastAsia" w:ascii="Times New Roman" w:hAnsi="Times New Roman" w:cs="Times New Roman"/>
              </w:rPr>
            </w:pPr>
            <w:r>
              <w:rPr>
                <w:rFonts w:hint="eastAsia" w:ascii="Times New Roman" w:hAnsi="Times New Roman" w:cs="Times New Roman"/>
              </w:rPr>
              <w:t>注：未提供技术条款要求提供的技术支持材料的，视为负偏离。</w:t>
            </w:r>
          </w:p>
          <w:p>
            <w:pPr>
              <w:adjustRightInd w:val="0"/>
              <w:snapToGrid w:val="0"/>
              <w:rPr>
                <w:rFonts w:hint="default" w:eastAsia="宋体"/>
                <w:lang w:val="en-US" w:eastAsia="zh-CN"/>
              </w:rPr>
            </w:pPr>
            <w:r>
              <w:rPr>
                <w:rFonts w:hint="eastAsia" w:ascii="Times New Roman" w:hAnsi="Times New Roman" w:cs="Times New Roman"/>
                <w:color w:val="0000FF"/>
                <w:lang w:val="en-US" w:eastAsia="zh-CN"/>
              </w:rPr>
              <w:t>未提供完整施工图纸、BIM演示图及土建施工交界面的，视为负偏离。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vAlign w:val="center"/>
          </w:tcPr>
          <w:p>
            <w:pPr>
              <w:spacing w:line="360" w:lineRule="auto"/>
              <w:jc w:val="center"/>
              <w:rPr>
                <w:rFonts w:ascii="宋体" w:hAnsi="宋体" w:cs="宋体"/>
                <w:color w:val="auto"/>
                <w:szCs w:val="21"/>
              </w:rPr>
            </w:pPr>
          </w:p>
        </w:tc>
        <w:tc>
          <w:tcPr>
            <w:tcW w:w="1675" w:type="dxa"/>
            <w:vAlign w:val="center"/>
          </w:tcPr>
          <w:p>
            <w:pPr>
              <w:autoSpaceDE w:val="0"/>
              <w:autoSpaceDN w:val="0"/>
              <w:adjustRightInd w:val="0"/>
              <w:jc w:val="center"/>
              <w:rPr>
                <w:rFonts w:hint="eastAsia" w:ascii="宋体" w:hAnsi="宋体" w:cs="Times New Roman"/>
                <w:color w:val="auto"/>
                <w:szCs w:val="21"/>
              </w:rPr>
            </w:pPr>
            <w:r>
              <w:rPr>
                <w:rFonts w:hint="eastAsia" w:ascii="宋体" w:hAnsi="宋体" w:cs="Times New Roman"/>
                <w:color w:val="auto"/>
                <w:szCs w:val="21"/>
              </w:rPr>
              <w:t>处理工艺（5）</w:t>
            </w:r>
          </w:p>
        </w:tc>
        <w:tc>
          <w:tcPr>
            <w:tcW w:w="7391" w:type="dxa"/>
            <w:vAlign w:val="center"/>
          </w:tcPr>
          <w:p>
            <w:pPr>
              <w:autoSpaceDE w:val="0"/>
              <w:autoSpaceDN w:val="0"/>
              <w:adjustRightInd w:val="0"/>
              <w:jc w:val="left"/>
              <w:rPr>
                <w:rFonts w:hint="eastAsia" w:ascii="宋体" w:hAnsi="宋体" w:cs="Times New Roman"/>
                <w:color w:val="auto"/>
                <w:szCs w:val="21"/>
              </w:rPr>
            </w:pPr>
            <w:r>
              <w:rPr>
                <w:rFonts w:hint="eastAsia" w:ascii="宋体" w:hAnsi="宋体" w:cs="Times New Roman"/>
                <w:color w:val="auto"/>
                <w:szCs w:val="21"/>
              </w:rPr>
              <w:t>根据各投标人提供的废液废水处理工艺的完整性、可行性、先进性进行相对评价。好4</w:t>
            </w:r>
            <w:r>
              <w:rPr>
                <w:rFonts w:hint="eastAsia" w:ascii="宋体" w:hAnsi="宋体" w:cs="Times New Roman"/>
                <w:color w:val="auto"/>
                <w:szCs w:val="21"/>
                <w:lang w:eastAsia="zh-CN"/>
              </w:rPr>
              <w:t>—</w:t>
            </w:r>
            <w:r>
              <w:rPr>
                <w:rFonts w:hint="eastAsia" w:ascii="宋体" w:hAnsi="宋体" w:cs="Times New Roman"/>
                <w:color w:val="auto"/>
                <w:szCs w:val="21"/>
              </w:rPr>
              <w:t>5分；较好2</w:t>
            </w:r>
            <w:r>
              <w:rPr>
                <w:rFonts w:hint="eastAsia" w:ascii="宋体" w:hAnsi="宋体" w:cs="Times New Roman"/>
                <w:color w:val="auto"/>
                <w:szCs w:val="21"/>
                <w:lang w:eastAsia="zh-CN"/>
              </w:rPr>
              <w:t>—</w:t>
            </w:r>
            <w:r>
              <w:rPr>
                <w:rFonts w:hint="eastAsia" w:ascii="宋体" w:hAnsi="宋体" w:cs="Times New Roman"/>
                <w:color w:val="auto"/>
                <w:szCs w:val="21"/>
              </w:rPr>
              <w:t>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vAlign w:val="center"/>
          </w:tcPr>
          <w:p>
            <w:pPr>
              <w:spacing w:line="360" w:lineRule="auto"/>
              <w:jc w:val="center"/>
              <w:rPr>
                <w:rFonts w:ascii="宋体" w:hAnsi="宋体" w:cs="宋体"/>
                <w:color w:val="auto"/>
                <w:szCs w:val="21"/>
              </w:rPr>
            </w:pPr>
          </w:p>
        </w:tc>
        <w:tc>
          <w:tcPr>
            <w:tcW w:w="1675" w:type="dxa"/>
            <w:vAlign w:val="center"/>
          </w:tcPr>
          <w:p>
            <w:pPr>
              <w:autoSpaceDE w:val="0"/>
              <w:autoSpaceDN w:val="0"/>
              <w:adjustRightInd w:val="0"/>
              <w:jc w:val="center"/>
              <w:rPr>
                <w:rFonts w:hint="eastAsia" w:ascii="宋体" w:hAnsi="宋体" w:cs="Times New Roman"/>
                <w:color w:val="auto"/>
                <w:szCs w:val="21"/>
              </w:rPr>
            </w:pPr>
            <w:r>
              <w:rPr>
                <w:rFonts w:hint="eastAsia" w:ascii="宋体" w:hAnsi="宋体" w:cs="Times New Roman"/>
                <w:color w:val="auto"/>
                <w:szCs w:val="21"/>
              </w:rPr>
              <w:t>设备实践功能（3）</w:t>
            </w:r>
          </w:p>
        </w:tc>
        <w:tc>
          <w:tcPr>
            <w:tcW w:w="7391" w:type="dxa"/>
            <w:vAlign w:val="center"/>
          </w:tcPr>
          <w:p>
            <w:pPr>
              <w:autoSpaceDE w:val="0"/>
              <w:autoSpaceDN w:val="0"/>
              <w:adjustRightInd w:val="0"/>
              <w:jc w:val="left"/>
              <w:rPr>
                <w:rFonts w:hint="eastAsia" w:ascii="宋体" w:hAnsi="宋体" w:cs="Times New Roman"/>
                <w:color w:val="auto"/>
                <w:szCs w:val="21"/>
              </w:rPr>
            </w:pPr>
            <w:r>
              <w:rPr>
                <w:rFonts w:hint="eastAsia" w:ascii="宋体" w:hAnsi="宋体" w:cs="Times New Roman"/>
                <w:color w:val="auto"/>
                <w:szCs w:val="21"/>
              </w:rPr>
              <w:t>根据各投标人提供的设备的学生实践功能等说明进行相对评价。好2</w:t>
            </w:r>
            <w:r>
              <w:rPr>
                <w:rFonts w:hint="eastAsia" w:ascii="宋体" w:hAnsi="宋体" w:cs="Times New Roman"/>
                <w:color w:val="auto"/>
                <w:szCs w:val="21"/>
                <w:lang w:eastAsia="zh-CN"/>
              </w:rPr>
              <w:t>—</w:t>
            </w:r>
            <w:r>
              <w:rPr>
                <w:rFonts w:hint="eastAsia" w:ascii="宋体" w:hAnsi="宋体" w:cs="Times New Roman"/>
                <w:color w:val="auto"/>
                <w:szCs w:val="21"/>
              </w:rPr>
              <w:t>3分，一般得0-1分，未考虑的不得分。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vAlign w:val="center"/>
          </w:tcPr>
          <w:p>
            <w:pPr>
              <w:spacing w:line="360" w:lineRule="auto"/>
              <w:jc w:val="center"/>
              <w:rPr>
                <w:rFonts w:ascii="宋体" w:hAnsi="宋体" w:cs="宋体"/>
                <w:color w:val="auto"/>
                <w:szCs w:val="21"/>
              </w:rPr>
            </w:pPr>
          </w:p>
        </w:tc>
        <w:tc>
          <w:tcPr>
            <w:tcW w:w="1675" w:type="dxa"/>
            <w:vAlign w:val="center"/>
          </w:tcPr>
          <w:p>
            <w:pPr>
              <w:autoSpaceDE w:val="0"/>
              <w:autoSpaceDN w:val="0"/>
              <w:adjustRightInd w:val="0"/>
              <w:jc w:val="center"/>
              <w:rPr>
                <w:rFonts w:hint="eastAsia" w:ascii="宋体" w:hAnsi="宋体" w:cs="Times New Roman"/>
                <w:color w:val="auto"/>
                <w:szCs w:val="21"/>
              </w:rPr>
            </w:pPr>
            <w:r>
              <w:rPr>
                <w:rFonts w:hint="eastAsia" w:ascii="宋体" w:hAnsi="宋体" w:cs="Times New Roman"/>
                <w:color w:val="auto"/>
                <w:szCs w:val="21"/>
              </w:rPr>
              <w:t>设备安全性及可操作性（</w:t>
            </w:r>
            <w:r>
              <w:rPr>
                <w:rFonts w:hint="eastAsia" w:ascii="宋体" w:hAnsi="宋体" w:cs="Times New Roman"/>
                <w:color w:val="auto"/>
                <w:szCs w:val="21"/>
                <w:lang w:val="en-US" w:eastAsia="zh-CN"/>
              </w:rPr>
              <w:t>4</w:t>
            </w:r>
            <w:r>
              <w:rPr>
                <w:rFonts w:hint="eastAsia" w:ascii="宋体" w:hAnsi="宋体" w:cs="Times New Roman"/>
                <w:color w:val="auto"/>
                <w:szCs w:val="21"/>
              </w:rPr>
              <w:t>）</w:t>
            </w:r>
          </w:p>
        </w:tc>
        <w:tc>
          <w:tcPr>
            <w:tcW w:w="7391" w:type="dxa"/>
            <w:vAlign w:val="center"/>
          </w:tcPr>
          <w:p>
            <w:pPr>
              <w:autoSpaceDE w:val="0"/>
              <w:autoSpaceDN w:val="0"/>
              <w:adjustRightInd w:val="0"/>
              <w:jc w:val="left"/>
              <w:rPr>
                <w:rFonts w:hint="eastAsia" w:ascii="宋体" w:hAnsi="宋体" w:cs="Times New Roman"/>
                <w:color w:val="auto"/>
                <w:szCs w:val="21"/>
              </w:rPr>
            </w:pPr>
            <w:r>
              <w:rPr>
                <w:rFonts w:hint="eastAsia" w:ascii="宋体" w:hAnsi="宋体" w:cs="Times New Roman"/>
                <w:color w:val="auto"/>
                <w:szCs w:val="21"/>
              </w:rPr>
              <w:t>根据各投标人提供的设备的配置安全性、操作规程等说明进行相对评价。</w:t>
            </w:r>
            <w:r>
              <w:rPr>
                <w:rFonts w:hint="eastAsia" w:ascii="宋体" w:hAnsi="宋体" w:cs="Times New Roman"/>
                <w:color w:val="auto"/>
                <w:szCs w:val="21"/>
                <w:lang w:eastAsia="zh-CN"/>
              </w:rPr>
              <w:t>很</w:t>
            </w:r>
            <w:r>
              <w:rPr>
                <w:rFonts w:hint="eastAsia" w:ascii="宋体" w:hAnsi="宋体" w:cs="Times New Roman"/>
                <w:color w:val="auto"/>
                <w:szCs w:val="21"/>
              </w:rPr>
              <w:t>好4分；较好2</w:t>
            </w:r>
            <w:r>
              <w:rPr>
                <w:rFonts w:hint="eastAsia" w:ascii="宋体" w:hAnsi="宋体" w:cs="Times New Roman"/>
                <w:color w:val="auto"/>
                <w:szCs w:val="21"/>
                <w:lang w:eastAsia="zh-CN"/>
              </w:rPr>
              <w:t>—</w:t>
            </w:r>
            <w:r>
              <w:rPr>
                <w:rFonts w:hint="eastAsia" w:ascii="宋体" w:hAnsi="宋体" w:cs="Times New Roman"/>
                <w:color w:val="auto"/>
                <w:szCs w:val="21"/>
              </w:rPr>
              <w:t>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vAlign w:val="center"/>
          </w:tcPr>
          <w:p>
            <w:pPr>
              <w:spacing w:line="360" w:lineRule="auto"/>
              <w:jc w:val="center"/>
              <w:rPr>
                <w:rFonts w:ascii="宋体" w:hAnsi="宋体" w:cs="宋体"/>
                <w:color w:val="auto"/>
                <w:szCs w:val="21"/>
              </w:rPr>
            </w:pPr>
          </w:p>
        </w:tc>
        <w:tc>
          <w:tcPr>
            <w:tcW w:w="1675" w:type="dxa"/>
            <w:vAlign w:val="center"/>
          </w:tcPr>
          <w:p>
            <w:pPr>
              <w:autoSpaceDE w:val="0"/>
              <w:autoSpaceDN w:val="0"/>
              <w:adjustRightInd w:val="0"/>
              <w:jc w:val="center"/>
              <w:rPr>
                <w:rFonts w:hint="eastAsia" w:ascii="宋体" w:hAnsi="宋体" w:cs="Times New Roman"/>
                <w:color w:val="auto"/>
                <w:szCs w:val="21"/>
              </w:rPr>
            </w:pPr>
            <w:r>
              <w:rPr>
                <w:rFonts w:hint="eastAsia" w:ascii="宋体" w:hAnsi="宋体" w:cs="Times New Roman"/>
                <w:color w:val="auto"/>
                <w:szCs w:val="21"/>
              </w:rPr>
              <w:t>处理间环境保护（</w:t>
            </w:r>
            <w:r>
              <w:rPr>
                <w:rFonts w:hint="eastAsia" w:ascii="宋体" w:hAnsi="宋体" w:cs="Times New Roman"/>
                <w:color w:val="auto"/>
                <w:szCs w:val="21"/>
                <w:lang w:val="en-US" w:eastAsia="zh-CN"/>
              </w:rPr>
              <w:t>3</w:t>
            </w:r>
            <w:r>
              <w:rPr>
                <w:rFonts w:hint="eastAsia" w:ascii="宋体" w:hAnsi="宋体" w:cs="Times New Roman"/>
                <w:color w:val="auto"/>
                <w:szCs w:val="21"/>
              </w:rPr>
              <w:t>）</w:t>
            </w:r>
          </w:p>
        </w:tc>
        <w:tc>
          <w:tcPr>
            <w:tcW w:w="7391" w:type="dxa"/>
            <w:vAlign w:val="center"/>
          </w:tcPr>
          <w:p>
            <w:pPr>
              <w:autoSpaceDE w:val="0"/>
              <w:autoSpaceDN w:val="0"/>
              <w:adjustRightInd w:val="0"/>
              <w:jc w:val="left"/>
              <w:rPr>
                <w:rFonts w:hint="eastAsia" w:ascii="宋体" w:hAnsi="宋体" w:cs="Times New Roman"/>
                <w:color w:val="auto"/>
                <w:szCs w:val="21"/>
              </w:rPr>
            </w:pPr>
            <w:r>
              <w:rPr>
                <w:rFonts w:hint="eastAsia" w:ascii="宋体" w:hAnsi="宋体" w:cs="Times New Roman"/>
                <w:color w:val="auto"/>
                <w:szCs w:val="21"/>
              </w:rPr>
              <w:t>根据各投标人提供的污水处理间通排风、异味去除、噪声隔除、震动消减、二次污染防控等说明进行相对评价。</w:t>
            </w:r>
            <w:r>
              <w:rPr>
                <w:rFonts w:hint="eastAsia" w:ascii="宋体" w:hAnsi="宋体" w:cs="Times New Roman"/>
                <w:color w:val="auto"/>
                <w:szCs w:val="21"/>
                <w:lang w:eastAsia="zh-CN"/>
              </w:rPr>
              <w:t>很</w:t>
            </w:r>
            <w:r>
              <w:rPr>
                <w:rFonts w:hint="eastAsia" w:ascii="宋体" w:hAnsi="宋体" w:cs="Times New Roman"/>
                <w:color w:val="auto"/>
                <w:szCs w:val="21"/>
              </w:rPr>
              <w:t>好</w:t>
            </w:r>
            <w:r>
              <w:rPr>
                <w:rFonts w:hint="eastAsia" w:ascii="宋体" w:hAnsi="宋体" w:cs="Times New Roman"/>
                <w:color w:val="auto"/>
                <w:szCs w:val="21"/>
                <w:lang w:val="en-US" w:eastAsia="zh-CN"/>
              </w:rPr>
              <w:t>3</w:t>
            </w:r>
            <w:r>
              <w:rPr>
                <w:rFonts w:hint="eastAsia" w:ascii="宋体" w:hAnsi="宋体" w:cs="Times New Roman"/>
                <w:color w:val="auto"/>
                <w:szCs w:val="21"/>
              </w:rPr>
              <w:t>分；较好2分；一般得1分。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66"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商务分</w:t>
            </w:r>
          </w:p>
        </w:tc>
        <w:tc>
          <w:tcPr>
            <w:tcW w:w="650" w:type="dxa"/>
            <w:vMerge w:val="restart"/>
            <w:vAlign w:val="center"/>
          </w:tcPr>
          <w:p>
            <w:pPr>
              <w:spacing w:line="360" w:lineRule="auto"/>
              <w:jc w:val="center"/>
              <w:rPr>
                <w:rFonts w:ascii="宋体" w:hAnsi="宋体" w:cs="宋体"/>
                <w:color w:val="auto"/>
                <w:szCs w:val="21"/>
                <w:lang w:val="en-US"/>
              </w:rPr>
            </w:pPr>
            <w:r>
              <w:rPr>
                <w:rFonts w:hint="eastAsia" w:ascii="宋体" w:hAnsi="宋体" w:cs="宋体"/>
                <w:color w:val="auto"/>
                <w:szCs w:val="21"/>
                <w:lang w:val="en-US" w:eastAsia="zh-CN"/>
              </w:rPr>
              <w:t>25</w:t>
            </w:r>
          </w:p>
        </w:tc>
        <w:tc>
          <w:tcPr>
            <w:tcW w:w="1675" w:type="dxa"/>
            <w:vAlign w:val="center"/>
          </w:tcPr>
          <w:p>
            <w:pPr>
              <w:jc w:val="center"/>
              <w:rPr>
                <w:color w:val="auto"/>
                <w:szCs w:val="21"/>
              </w:rPr>
            </w:pPr>
            <w:r>
              <w:rPr>
                <w:rFonts w:hint="eastAsia" w:ascii="宋体" w:hAnsi="宋体"/>
                <w:color w:val="auto"/>
                <w:spacing w:val="6"/>
                <w:sz w:val="20"/>
                <w:szCs w:val="20"/>
              </w:rPr>
              <w:t>售后服务</w:t>
            </w: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w:t>
            </w:r>
          </w:p>
        </w:tc>
        <w:tc>
          <w:tcPr>
            <w:tcW w:w="7391" w:type="dxa"/>
            <w:vAlign w:val="center"/>
          </w:tcPr>
          <w:p>
            <w:pPr>
              <w:pStyle w:val="28"/>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1.由评委根据各投标人的售后服务（承诺）和质保方案进行比较评议：包括详细的售后服务方案、明确质保期后的修包费用、响应时间、维修时间、售后服务保障及售后服务机构的综合实力等。此项最高得4分。</w:t>
            </w:r>
          </w:p>
          <w:p>
            <w:pPr>
              <w:pStyle w:val="28"/>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2.由评委根据质保期满后5年内配件、耗材、备品备件报价及优惠折扣率进行打分。此项最高得2分。</w:t>
            </w:r>
          </w:p>
          <w:p>
            <w:pPr>
              <w:pStyle w:val="28"/>
              <w:rPr>
                <w:color w:val="auto"/>
              </w:rPr>
            </w:pPr>
            <w:r>
              <w:rPr>
                <w:rFonts w:hint="eastAsia" w:ascii="宋体" w:hAnsi="宋体" w:eastAsia="宋体" w:cs="Times New Roman"/>
                <w:color w:val="auto"/>
                <w:kern w:val="2"/>
                <w:sz w:val="21"/>
                <w:szCs w:val="21"/>
                <w:lang w:val="en-US" w:eastAsia="zh-CN" w:bidi="ar-SA"/>
              </w:rPr>
              <w:t>3.培训技术服务：提供详细的操作培训和维修培训计划，提供免费的操作培训及维修培训，由评委根据各投标人的培训方案进行比较评议。此项最高得2分。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vAlign w:val="center"/>
          </w:tcPr>
          <w:p>
            <w:pPr>
              <w:spacing w:line="360" w:lineRule="auto"/>
              <w:jc w:val="center"/>
              <w:rPr>
                <w:rFonts w:ascii="宋体" w:hAnsi="宋体" w:cs="宋体"/>
                <w:color w:val="auto"/>
                <w:szCs w:val="21"/>
                <w:lang w:val="en-US"/>
              </w:rPr>
            </w:pPr>
          </w:p>
        </w:tc>
        <w:tc>
          <w:tcPr>
            <w:tcW w:w="1675" w:type="dxa"/>
            <w:vAlign w:val="center"/>
          </w:tcPr>
          <w:p>
            <w:pPr>
              <w:jc w:val="center"/>
              <w:rPr>
                <w:rFonts w:ascii="宋体" w:hAnsi="宋体" w:cs="宋体"/>
                <w:color w:val="auto"/>
                <w:szCs w:val="21"/>
              </w:rPr>
            </w:pPr>
            <w:r>
              <w:rPr>
                <w:rFonts w:hint="eastAsia" w:ascii="宋体" w:hAnsi="宋体" w:cs="宋体"/>
                <w:color w:val="auto"/>
                <w:szCs w:val="21"/>
              </w:rPr>
              <w:t>业绩案例</w:t>
            </w:r>
          </w:p>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p>
        </w:tc>
        <w:tc>
          <w:tcPr>
            <w:tcW w:w="7391" w:type="dxa"/>
            <w:vAlign w:val="center"/>
          </w:tcPr>
          <w:p>
            <w:pPr>
              <w:autoSpaceDE w:val="0"/>
              <w:autoSpaceDN w:val="0"/>
              <w:adjustRightInd w:val="0"/>
              <w:jc w:val="left"/>
              <w:rPr>
                <w:rFonts w:hint="eastAsia" w:ascii="宋体" w:hAnsi="宋体" w:cs="Times New Roman"/>
                <w:color w:val="auto"/>
                <w:szCs w:val="21"/>
              </w:rPr>
            </w:pPr>
            <w:r>
              <w:rPr>
                <w:rFonts w:hint="eastAsia" w:ascii="宋体" w:hAnsi="宋体" w:cs="Times New Roman"/>
                <w:color w:val="auto"/>
                <w:szCs w:val="21"/>
              </w:rPr>
              <w:t>投标人具有同类项目销售业绩且合同金额在200万元（含）以上，且提供第三方检测报告、用户验收报告、用户应用证明每个业绩得</w:t>
            </w:r>
            <w:r>
              <w:rPr>
                <w:rFonts w:hint="eastAsia" w:ascii="宋体" w:hAnsi="宋体" w:cs="Times New Roman"/>
                <w:color w:val="auto"/>
                <w:szCs w:val="21"/>
                <w:lang w:val="en-US" w:eastAsia="zh-CN"/>
              </w:rPr>
              <w:t>1</w:t>
            </w:r>
            <w:r>
              <w:rPr>
                <w:rFonts w:hint="eastAsia" w:ascii="宋体" w:hAnsi="宋体" w:cs="Times New Roman"/>
                <w:color w:val="auto"/>
                <w:szCs w:val="21"/>
              </w:rPr>
              <w:t>分，最高</w:t>
            </w:r>
            <w:r>
              <w:rPr>
                <w:rFonts w:hint="eastAsia" w:ascii="宋体" w:hAnsi="宋体" w:cs="Times New Roman"/>
                <w:color w:val="auto"/>
                <w:szCs w:val="21"/>
                <w:lang w:val="en-US" w:eastAsia="zh-CN"/>
              </w:rPr>
              <w:t>6</w:t>
            </w:r>
            <w:r>
              <w:rPr>
                <w:rFonts w:hint="eastAsia" w:ascii="宋体" w:hAnsi="宋体" w:cs="Times New Roman"/>
                <w:color w:val="auto"/>
                <w:szCs w:val="21"/>
              </w:rPr>
              <w:t>分</w:t>
            </w:r>
            <w:r>
              <w:rPr>
                <w:rFonts w:hint="eastAsia" w:ascii="宋体" w:hAnsi="宋体" w:cs="Times New Roman"/>
                <w:color w:val="auto"/>
                <w:szCs w:val="21"/>
                <w:lang w:eastAsia="zh-CN"/>
              </w:rPr>
              <w:t>。</w:t>
            </w:r>
            <w:r>
              <w:rPr>
                <w:rFonts w:hint="eastAsia" w:ascii="宋体" w:hAnsi="宋体" w:cs="Times New Roman"/>
                <w:color w:val="auto"/>
                <w:szCs w:val="21"/>
              </w:rPr>
              <w:t>（投标文件中需提供</w:t>
            </w:r>
            <w:r>
              <w:rPr>
                <w:rFonts w:hint="eastAsia" w:ascii="宋体" w:hAnsi="宋体" w:cs="Times New Roman"/>
                <w:color w:val="auto"/>
                <w:szCs w:val="21"/>
                <w:lang w:val="en-US" w:eastAsia="zh-CN"/>
              </w:rPr>
              <w:t>近三年</w:t>
            </w:r>
            <w:r>
              <w:rPr>
                <w:rFonts w:hint="eastAsia" w:ascii="宋体" w:hAnsi="宋体" w:cs="Times New Roman"/>
                <w:color w:val="auto"/>
                <w:szCs w:val="21"/>
              </w:rPr>
              <w:t>合同书、验收报告、第三方检测合格报告、用户应用证明复印件加盖投标商公章）。</w:t>
            </w:r>
          </w:p>
          <w:p>
            <w:pPr>
              <w:rPr>
                <w:rFonts w:ascii="宋体" w:hAnsi="宋体" w:cs="等线"/>
                <w:color w:val="auto"/>
                <w:szCs w:val="21"/>
              </w:rPr>
            </w:pPr>
            <w:r>
              <w:rPr>
                <w:rFonts w:hint="eastAsia" w:ascii="宋体" w:hAnsi="宋体" w:cs="Courier New"/>
                <w:b/>
                <w:bCs/>
                <w:color w:val="auto"/>
                <w:szCs w:val="21"/>
              </w:rPr>
              <w:t>注：投标时核对原件。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tcPr>
          <w:p>
            <w:pPr>
              <w:spacing w:line="360" w:lineRule="auto"/>
              <w:jc w:val="center"/>
              <w:rPr>
                <w:rFonts w:ascii="宋体" w:hAnsi="宋体" w:cs="宋体"/>
                <w:color w:val="auto"/>
                <w:szCs w:val="21"/>
              </w:rPr>
            </w:pPr>
          </w:p>
        </w:tc>
        <w:tc>
          <w:tcPr>
            <w:tcW w:w="1675" w:type="dxa"/>
            <w:vAlign w:val="center"/>
          </w:tcPr>
          <w:p>
            <w:pPr>
              <w:jc w:val="center"/>
              <w:rPr>
                <w:rFonts w:ascii="宋体" w:hAnsi="宋体" w:cs="宋体"/>
                <w:color w:val="auto"/>
                <w:szCs w:val="21"/>
              </w:rPr>
            </w:pPr>
            <w:r>
              <w:rPr>
                <w:rFonts w:hint="eastAsia" w:ascii="宋体" w:hAnsi="宋体" w:cs="宋体"/>
                <w:color w:val="auto"/>
                <w:szCs w:val="21"/>
              </w:rPr>
              <w:t>企业实力</w:t>
            </w:r>
          </w:p>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p>
        </w:tc>
        <w:tc>
          <w:tcPr>
            <w:tcW w:w="7391" w:type="dxa"/>
            <w:vAlign w:val="center"/>
          </w:tcPr>
          <w:p>
            <w:pPr>
              <w:autoSpaceDE w:val="0"/>
              <w:autoSpaceDN w:val="0"/>
              <w:adjustRightInd w:val="0"/>
              <w:jc w:val="left"/>
              <w:rPr>
                <w:rFonts w:hint="eastAsia" w:ascii="宋体" w:hAnsi="宋体" w:cs="Times New Roman"/>
                <w:color w:val="auto"/>
                <w:szCs w:val="21"/>
              </w:rPr>
            </w:pPr>
            <w:r>
              <w:rPr>
                <w:rFonts w:hint="eastAsia" w:ascii="宋体" w:hAnsi="宋体" w:cs="Times New Roman"/>
                <w:color w:val="auto"/>
                <w:szCs w:val="21"/>
              </w:rPr>
              <w:t>1.投标人具有与实验室废液</w:t>
            </w:r>
            <w:r>
              <w:rPr>
                <w:rFonts w:hint="eastAsia" w:ascii="宋体" w:hAnsi="宋体" w:cs="Times New Roman"/>
                <w:color w:val="auto"/>
                <w:szCs w:val="21"/>
                <w:lang w:eastAsia="zh-CN"/>
              </w:rPr>
              <w:t>（</w:t>
            </w:r>
            <w:r>
              <w:rPr>
                <w:rFonts w:hint="eastAsia" w:ascii="宋体" w:hAnsi="宋体" w:cs="Times New Roman"/>
                <w:color w:val="auto"/>
                <w:szCs w:val="21"/>
              </w:rPr>
              <w:t>水</w:t>
            </w:r>
            <w:r>
              <w:rPr>
                <w:rFonts w:hint="eastAsia" w:ascii="宋体" w:hAnsi="宋体" w:cs="Times New Roman"/>
                <w:color w:val="auto"/>
                <w:szCs w:val="21"/>
                <w:lang w:eastAsia="zh-CN"/>
              </w:rPr>
              <w:t>）</w:t>
            </w:r>
            <w:r>
              <w:rPr>
                <w:rFonts w:hint="eastAsia" w:ascii="宋体" w:hAnsi="宋体" w:cs="Times New Roman"/>
                <w:color w:val="auto"/>
                <w:szCs w:val="21"/>
              </w:rPr>
              <w:t>或者实验室废气处理设备相关专利的有1项得1分，满分</w:t>
            </w:r>
            <w:r>
              <w:rPr>
                <w:rFonts w:hint="eastAsia" w:ascii="宋体" w:hAnsi="宋体" w:cs="Times New Roman"/>
                <w:color w:val="auto"/>
                <w:szCs w:val="21"/>
                <w:lang w:val="en-US" w:eastAsia="zh-CN"/>
              </w:rPr>
              <w:t>2</w:t>
            </w:r>
            <w:r>
              <w:rPr>
                <w:rFonts w:hint="eastAsia" w:ascii="宋体" w:hAnsi="宋体" w:cs="Times New Roman"/>
                <w:color w:val="auto"/>
                <w:szCs w:val="21"/>
              </w:rPr>
              <w:t>分。</w:t>
            </w:r>
          </w:p>
          <w:p>
            <w:pPr>
              <w:autoSpaceDE w:val="0"/>
              <w:autoSpaceDN w:val="0"/>
              <w:adjustRightInd w:val="0"/>
              <w:jc w:val="left"/>
              <w:rPr>
                <w:rFonts w:ascii="宋体" w:hAnsi="宋体"/>
                <w:color w:val="auto"/>
                <w:szCs w:val="21"/>
              </w:rPr>
            </w:pPr>
            <w:r>
              <w:rPr>
                <w:rFonts w:hint="eastAsia" w:ascii="宋体" w:hAnsi="宋体"/>
                <w:color w:val="auto"/>
                <w:szCs w:val="21"/>
              </w:rPr>
              <w:t>2.投标人所投装置具有省（部）级及以上产品鉴定的得</w:t>
            </w:r>
            <w:r>
              <w:rPr>
                <w:rFonts w:hint="eastAsia" w:ascii="宋体" w:hAnsi="宋体"/>
                <w:color w:val="auto"/>
                <w:szCs w:val="21"/>
                <w:lang w:val="en-US" w:eastAsia="zh-CN"/>
              </w:rPr>
              <w:t>1</w:t>
            </w:r>
            <w:r>
              <w:rPr>
                <w:rFonts w:hint="eastAsia" w:ascii="宋体" w:hAnsi="宋体"/>
                <w:color w:val="auto"/>
                <w:szCs w:val="21"/>
              </w:rPr>
              <w:t>分，满分</w:t>
            </w:r>
            <w:r>
              <w:rPr>
                <w:rFonts w:hint="eastAsia" w:ascii="宋体" w:hAnsi="宋体"/>
                <w:color w:val="auto"/>
                <w:szCs w:val="21"/>
                <w:lang w:val="en-US" w:eastAsia="zh-CN"/>
              </w:rPr>
              <w:t>2</w:t>
            </w:r>
            <w:r>
              <w:rPr>
                <w:rFonts w:hint="eastAsia" w:ascii="宋体" w:hAnsi="宋体"/>
                <w:color w:val="auto"/>
                <w:szCs w:val="21"/>
              </w:rPr>
              <w:t>分。</w:t>
            </w:r>
          </w:p>
          <w:p>
            <w:pPr>
              <w:autoSpaceDE w:val="0"/>
              <w:autoSpaceDN w:val="0"/>
              <w:adjustRightInd w:val="0"/>
              <w:jc w:val="left"/>
              <w:rPr>
                <w:rFonts w:ascii="宋体" w:hAnsi="宋体"/>
                <w:color w:val="auto"/>
                <w:szCs w:val="21"/>
              </w:rPr>
            </w:pPr>
            <w:r>
              <w:rPr>
                <w:rFonts w:hint="eastAsia" w:ascii="宋体" w:hAnsi="宋体"/>
                <w:color w:val="auto"/>
                <w:szCs w:val="21"/>
              </w:rPr>
              <w:t>3.投标人所投装置获省（部）级及以上科技成果奖的得1分，满分</w:t>
            </w:r>
            <w:r>
              <w:rPr>
                <w:rFonts w:hint="eastAsia" w:ascii="宋体" w:hAnsi="宋体"/>
                <w:color w:val="auto"/>
                <w:szCs w:val="21"/>
                <w:lang w:val="en-US" w:eastAsia="zh-CN"/>
              </w:rPr>
              <w:t>2</w:t>
            </w:r>
            <w:r>
              <w:rPr>
                <w:rFonts w:hint="eastAsia" w:ascii="宋体" w:hAnsi="宋体"/>
                <w:color w:val="auto"/>
                <w:szCs w:val="21"/>
              </w:rPr>
              <w:t>分。</w:t>
            </w:r>
          </w:p>
          <w:p>
            <w:pPr>
              <w:rPr>
                <w:rFonts w:ascii="宋体" w:hAnsi="宋体"/>
                <w:color w:val="auto"/>
                <w:szCs w:val="21"/>
              </w:rPr>
            </w:pPr>
            <w:r>
              <w:rPr>
                <w:rFonts w:hint="eastAsia" w:ascii="宋体" w:hAnsi="宋体" w:cs="Courier New"/>
                <w:b/>
                <w:bCs/>
                <w:color w:val="auto"/>
                <w:szCs w:val="21"/>
              </w:rPr>
              <w:t>注：投标时核对原件。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tcPr>
          <w:p>
            <w:pPr>
              <w:spacing w:line="360" w:lineRule="auto"/>
              <w:jc w:val="center"/>
              <w:rPr>
                <w:rFonts w:ascii="宋体" w:hAnsi="宋体" w:cs="宋体"/>
                <w:color w:val="auto"/>
                <w:szCs w:val="21"/>
              </w:rPr>
            </w:pPr>
          </w:p>
        </w:tc>
        <w:tc>
          <w:tcPr>
            <w:tcW w:w="1675" w:type="dxa"/>
            <w:vAlign w:val="center"/>
          </w:tcPr>
          <w:p>
            <w:pPr>
              <w:jc w:val="center"/>
              <w:rPr>
                <w:rFonts w:ascii="宋体" w:hAnsi="宋体" w:cs="宋体"/>
                <w:color w:val="auto"/>
                <w:szCs w:val="21"/>
              </w:rPr>
            </w:pPr>
            <w:r>
              <w:rPr>
                <w:rFonts w:hint="eastAsia" w:ascii="宋体" w:hAnsi="宋体" w:cs="宋体"/>
                <w:color w:val="auto"/>
                <w:szCs w:val="21"/>
              </w:rPr>
              <w:t>企业资质</w:t>
            </w:r>
          </w:p>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p>
        </w:tc>
        <w:tc>
          <w:tcPr>
            <w:tcW w:w="7391" w:type="dxa"/>
            <w:vAlign w:val="center"/>
          </w:tcPr>
          <w:p>
            <w:pPr>
              <w:autoSpaceDE w:val="0"/>
              <w:autoSpaceDN w:val="0"/>
              <w:adjustRightInd w:val="0"/>
              <w:jc w:val="left"/>
              <w:rPr>
                <w:rFonts w:ascii="宋体" w:hAnsi="宋体"/>
                <w:color w:val="auto"/>
                <w:szCs w:val="21"/>
              </w:rPr>
            </w:pPr>
            <w:r>
              <w:rPr>
                <w:rFonts w:ascii="宋体" w:hAnsi="宋体"/>
                <w:color w:val="auto"/>
                <w:szCs w:val="21"/>
              </w:rPr>
              <w:t>1</w:t>
            </w:r>
            <w:r>
              <w:rPr>
                <w:rFonts w:hint="eastAsia" w:ascii="宋体" w:hAnsi="宋体"/>
                <w:color w:val="auto"/>
                <w:szCs w:val="21"/>
              </w:rPr>
              <w:t>.提供投标人环保工程专业承包资质的得1分；</w:t>
            </w:r>
          </w:p>
          <w:p>
            <w:pPr>
              <w:autoSpaceDE w:val="0"/>
              <w:autoSpaceDN w:val="0"/>
              <w:adjustRightInd w:val="0"/>
              <w:jc w:val="left"/>
              <w:rPr>
                <w:rFonts w:ascii="宋体" w:hAnsi="宋体"/>
                <w:color w:val="auto"/>
                <w:szCs w:val="21"/>
              </w:rPr>
            </w:pPr>
            <w:r>
              <w:rPr>
                <w:rFonts w:ascii="宋体" w:hAnsi="宋体"/>
                <w:color w:val="auto"/>
                <w:szCs w:val="21"/>
              </w:rPr>
              <w:t>2</w:t>
            </w:r>
            <w:r>
              <w:rPr>
                <w:rFonts w:hint="eastAsia" w:ascii="宋体" w:hAnsi="宋体"/>
                <w:color w:val="auto"/>
                <w:szCs w:val="21"/>
              </w:rPr>
              <w:t>.提供投标人建筑电子与智能化工程专业承包资质的得1分。</w:t>
            </w:r>
          </w:p>
          <w:p>
            <w:pPr>
              <w:rPr>
                <w:rFonts w:ascii="宋体" w:hAnsi="宋体"/>
                <w:color w:val="auto"/>
                <w:szCs w:val="21"/>
              </w:rPr>
            </w:pPr>
            <w:r>
              <w:rPr>
                <w:rFonts w:hint="eastAsia" w:ascii="宋体" w:hAnsi="宋体"/>
                <w:b/>
                <w:bCs/>
                <w:color w:val="auto"/>
                <w:szCs w:val="21"/>
              </w:rPr>
              <w:t>注：</w:t>
            </w:r>
            <w:r>
              <w:rPr>
                <w:rFonts w:hint="eastAsia" w:ascii="宋体" w:hAnsi="宋体" w:cs="Courier New"/>
                <w:b/>
                <w:bCs/>
                <w:color w:val="auto"/>
                <w:szCs w:val="21"/>
              </w:rPr>
              <w:t>投标时核对原件。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66" w:type="dxa"/>
            <w:vMerge w:val="continue"/>
            <w:vAlign w:val="center"/>
          </w:tcPr>
          <w:p>
            <w:pPr>
              <w:spacing w:line="360" w:lineRule="auto"/>
              <w:jc w:val="center"/>
              <w:rPr>
                <w:rFonts w:ascii="宋体" w:hAnsi="宋体" w:cs="宋体"/>
                <w:color w:val="auto"/>
                <w:szCs w:val="21"/>
              </w:rPr>
            </w:pPr>
          </w:p>
        </w:tc>
        <w:tc>
          <w:tcPr>
            <w:tcW w:w="650" w:type="dxa"/>
            <w:vMerge w:val="continue"/>
          </w:tcPr>
          <w:p>
            <w:pPr>
              <w:spacing w:line="360" w:lineRule="auto"/>
              <w:jc w:val="center"/>
              <w:rPr>
                <w:rFonts w:ascii="宋体" w:hAnsi="宋体" w:cs="宋体"/>
                <w:color w:val="auto"/>
                <w:szCs w:val="21"/>
              </w:rPr>
            </w:pPr>
          </w:p>
        </w:tc>
        <w:tc>
          <w:tcPr>
            <w:tcW w:w="1675" w:type="dxa"/>
            <w:vAlign w:val="center"/>
          </w:tcPr>
          <w:p>
            <w:pPr>
              <w:jc w:val="center"/>
              <w:rPr>
                <w:rFonts w:ascii="宋体" w:hAnsi="宋体" w:cs="宋体"/>
                <w:color w:val="auto"/>
                <w:szCs w:val="21"/>
              </w:rPr>
            </w:pPr>
            <w:r>
              <w:rPr>
                <w:rFonts w:hint="eastAsia" w:ascii="宋体" w:hAnsi="宋体" w:cs="宋体"/>
                <w:color w:val="auto"/>
                <w:szCs w:val="21"/>
              </w:rPr>
              <w:t>质保期</w:t>
            </w:r>
          </w:p>
          <w:p>
            <w:pPr>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p>
        </w:tc>
        <w:tc>
          <w:tcPr>
            <w:tcW w:w="7391" w:type="dxa"/>
            <w:vAlign w:val="center"/>
          </w:tcPr>
          <w:p>
            <w:pPr>
              <w:rPr>
                <w:rFonts w:hint="eastAsia" w:ascii="宋体" w:hAnsi="宋体"/>
                <w:b/>
                <w:bCs/>
                <w:color w:val="auto"/>
                <w:szCs w:val="21"/>
              </w:rPr>
            </w:pPr>
            <w:r>
              <w:rPr>
                <w:rFonts w:hint="eastAsia"/>
                <w:color w:val="auto"/>
                <w:szCs w:val="21"/>
              </w:rPr>
              <w:t>满足招标文件</w:t>
            </w:r>
            <w:r>
              <w:rPr>
                <w:rFonts w:hint="eastAsia"/>
                <w:color w:val="auto"/>
                <w:szCs w:val="21"/>
                <w:lang w:eastAsia="zh-CN"/>
              </w:rPr>
              <w:t>的</w:t>
            </w:r>
            <w:r>
              <w:rPr>
                <w:rFonts w:hint="eastAsia"/>
                <w:color w:val="auto"/>
                <w:szCs w:val="21"/>
                <w:lang w:val="en-US" w:eastAsia="zh-CN"/>
              </w:rPr>
              <w:t>2分，在</w:t>
            </w:r>
            <w:r>
              <w:rPr>
                <w:rFonts w:hint="eastAsia"/>
                <w:color w:val="auto"/>
                <w:szCs w:val="21"/>
              </w:rPr>
              <w:t>原厂质保</w:t>
            </w:r>
            <w:r>
              <w:rPr>
                <w:rFonts w:hint="eastAsia"/>
                <w:color w:val="auto"/>
                <w:szCs w:val="21"/>
                <w:lang w:val="en-US" w:eastAsia="zh-CN"/>
              </w:rPr>
              <w:t>三</w:t>
            </w:r>
            <w:r>
              <w:rPr>
                <w:rFonts w:hint="eastAsia"/>
                <w:color w:val="auto"/>
                <w:szCs w:val="21"/>
              </w:rPr>
              <w:t>年的基础上所有设备同时每延长一年加</w:t>
            </w:r>
            <w:r>
              <w:rPr>
                <w:rFonts w:hint="eastAsia" w:ascii="宋体" w:hAnsi="宋体" w:cs="宋体"/>
                <w:color w:val="auto"/>
                <w:szCs w:val="21"/>
              </w:rPr>
              <w:t>1分</w:t>
            </w:r>
            <w:r>
              <w:rPr>
                <w:rFonts w:hint="eastAsia" w:ascii="宋体" w:hAnsi="宋体" w:cs="宋体"/>
                <w:color w:val="auto"/>
                <w:szCs w:val="21"/>
                <w:lang w:eastAsia="zh-CN"/>
              </w:rPr>
              <w:t>，最多</w:t>
            </w:r>
            <w:r>
              <w:rPr>
                <w:rFonts w:hint="eastAsia" w:ascii="宋体" w:hAnsi="宋体" w:cs="宋体"/>
                <w:color w:val="auto"/>
                <w:szCs w:val="21"/>
                <w:lang w:val="en-US" w:eastAsia="zh-CN"/>
              </w:rPr>
              <w:t>3分</w:t>
            </w:r>
            <w:r>
              <w:rPr>
                <w:rFonts w:hint="eastAsia" w:ascii="宋体" w:hAnsi="宋体" w:cs="宋体"/>
                <w:color w:val="auto"/>
                <w:szCs w:val="21"/>
              </w:rPr>
              <w:t>。</w:t>
            </w:r>
            <w:r>
              <w:rPr>
                <w:rFonts w:hint="eastAsia" w:ascii="宋体" w:hAnsi="宋体" w:cs="宋体"/>
                <w:color w:val="auto"/>
                <w:szCs w:val="21"/>
                <w:lang w:val="en-US" w:eastAsia="zh-CN"/>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合计</w:t>
            </w:r>
          </w:p>
        </w:tc>
        <w:tc>
          <w:tcPr>
            <w:tcW w:w="65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00</w:t>
            </w:r>
          </w:p>
        </w:tc>
        <w:tc>
          <w:tcPr>
            <w:tcW w:w="9066" w:type="dxa"/>
            <w:gridSpan w:val="2"/>
            <w:vAlign w:val="center"/>
          </w:tcPr>
          <w:p>
            <w:pPr>
              <w:widowControl/>
              <w:spacing w:line="360" w:lineRule="auto"/>
              <w:rPr>
                <w:rFonts w:ascii="宋体" w:hAnsi="宋体"/>
                <w:color w:val="auto"/>
                <w:szCs w:val="21"/>
              </w:rPr>
            </w:pPr>
            <w:r>
              <w:rPr>
                <w:rFonts w:hint="eastAsia" w:ascii="宋体" w:hAnsi="宋体"/>
                <w:color w:val="auto"/>
                <w:szCs w:val="21"/>
              </w:rPr>
              <w:t>投标人最后得分保留两位小数</w:t>
            </w:r>
          </w:p>
        </w:tc>
      </w:tr>
      <w:bookmarkEnd w:id="0"/>
    </w:tbl>
    <w:p>
      <w:pPr>
        <w:pageBreakBefore/>
        <w:spacing w:line="360" w:lineRule="auto"/>
        <w:ind w:firstLine="643" w:firstLineChars="200"/>
        <w:jc w:val="center"/>
        <w:rPr>
          <w:rFonts w:ascii="仿宋_GB2312" w:hAnsi="宋体" w:eastAsia="仿宋_GB2312"/>
          <w:sz w:val="28"/>
          <w:szCs w:val="28"/>
        </w:rPr>
      </w:pPr>
      <w:r>
        <w:rPr>
          <w:rFonts w:hint="eastAsia"/>
          <w:b/>
          <w:bCs/>
          <w:sz w:val="32"/>
          <w:szCs w:val="32"/>
        </w:rPr>
        <w:t>第四部分  合同相关要求</w:t>
      </w:r>
    </w:p>
    <w:p>
      <w:pPr>
        <w:spacing w:line="360" w:lineRule="exact"/>
        <w:ind w:left="422" w:leftChars="201" w:firstLine="480" w:firstLineChars="200"/>
        <w:rPr>
          <w:rFonts w:ascii="宋体" w:hAnsi="宋体"/>
          <w:sz w:val="24"/>
        </w:rPr>
      </w:pPr>
      <w:r>
        <w:rPr>
          <w:rFonts w:hint="eastAsia" w:ascii="宋体" w:hAnsi="宋体"/>
          <w:sz w:val="24"/>
          <w:lang w:val="en-GB"/>
        </w:rPr>
        <w:t>1．</w:t>
      </w:r>
      <w:r>
        <w:rPr>
          <w:rFonts w:hint="eastAsia" w:ascii="宋体" w:hAnsi="宋体"/>
          <w:b/>
          <w:bCs/>
          <w:sz w:val="24"/>
        </w:rPr>
        <w:t>招标人对中标候选人提供的业绩进行抽查核实，确认无误后签订采购合同</w:t>
      </w:r>
      <w:r>
        <w:rPr>
          <w:rFonts w:hint="eastAsia" w:ascii="宋体" w:hAnsi="宋体"/>
          <w:sz w:val="24"/>
        </w:rPr>
        <w:t>。中标人</w:t>
      </w:r>
      <w:r>
        <w:rPr>
          <w:rFonts w:hint="eastAsia" w:ascii="宋体" w:hAnsi="宋体"/>
          <w:sz w:val="24"/>
          <w:lang w:val="en-GB"/>
        </w:rPr>
        <w:t>所签合同不得对招标文件作实质性修改。否则投标保证金将不予退还，由此给招标人造成损失的，中标人还应承担赔偿责任。</w:t>
      </w:r>
    </w:p>
    <w:p>
      <w:pPr>
        <w:spacing w:line="360" w:lineRule="exact"/>
        <w:ind w:left="422" w:leftChars="201" w:firstLine="480" w:firstLineChars="200"/>
        <w:rPr>
          <w:rFonts w:ascii="宋体" w:hAnsi="宋体"/>
          <w:sz w:val="24"/>
          <w:lang w:val="en-GB"/>
        </w:rPr>
      </w:pPr>
      <w:r>
        <w:rPr>
          <w:rFonts w:hint="eastAsia" w:ascii="宋体" w:hAnsi="宋体"/>
          <w:sz w:val="24"/>
          <w:lang w:val="en-GB"/>
        </w:rPr>
        <w:t>2．</w:t>
      </w:r>
      <w:r>
        <w:rPr>
          <w:rFonts w:hint="eastAsia" w:ascii="宋体" w:hAnsi="宋体"/>
          <w:sz w:val="24"/>
        </w:rPr>
        <w:t>采购招标文件</w:t>
      </w:r>
      <w:r>
        <w:rPr>
          <w:rFonts w:hint="eastAsia" w:ascii="宋体" w:hAnsi="宋体"/>
          <w:sz w:val="24"/>
          <w:lang w:val="en-GB"/>
        </w:rPr>
        <w:t>、</w:t>
      </w:r>
      <w:r>
        <w:rPr>
          <w:rFonts w:hint="eastAsia" w:ascii="宋体" w:hAnsi="宋体"/>
          <w:sz w:val="24"/>
        </w:rPr>
        <w:t>中标人</w:t>
      </w:r>
      <w:r>
        <w:rPr>
          <w:rFonts w:hint="eastAsia" w:ascii="宋体" w:hAnsi="宋体"/>
          <w:sz w:val="24"/>
          <w:lang w:val="en-GB"/>
        </w:rPr>
        <w:t>的投标文件及投标过程中有关书面澄清、承诺等均应作为合同附件，具有同等的法律效力。</w:t>
      </w:r>
    </w:p>
    <w:p>
      <w:pPr>
        <w:spacing w:line="360" w:lineRule="exact"/>
        <w:ind w:left="422" w:leftChars="201" w:firstLine="480" w:firstLineChars="200"/>
        <w:rPr>
          <w:rFonts w:ascii="宋体" w:hAnsi="宋体"/>
          <w:sz w:val="24"/>
          <w:lang w:val="en-GB"/>
        </w:rPr>
      </w:pPr>
      <w:r>
        <w:rPr>
          <w:rFonts w:hint="eastAsia" w:ascii="宋体" w:hAnsi="宋体"/>
          <w:sz w:val="24"/>
          <w:lang w:val="en-GB"/>
        </w:rPr>
        <w:t>3.</w:t>
      </w:r>
      <w:r>
        <w:rPr>
          <w:rFonts w:hint="eastAsia" w:ascii="宋体" w:hAnsi="宋体"/>
          <w:sz w:val="24"/>
        </w:rPr>
        <w:t>中标人</w:t>
      </w:r>
      <w:r>
        <w:rPr>
          <w:rFonts w:hint="eastAsia" w:ascii="宋体" w:hAnsi="宋体"/>
          <w:sz w:val="24"/>
          <w:lang w:val="en-GB"/>
        </w:rPr>
        <w:t>不得采用分包的形式履行合同，否则招标人有权终止合同，造成招标人损失的，</w:t>
      </w:r>
      <w:r>
        <w:rPr>
          <w:rFonts w:hint="eastAsia" w:ascii="宋体" w:hAnsi="宋体"/>
          <w:sz w:val="24"/>
        </w:rPr>
        <w:t>中标人</w:t>
      </w:r>
      <w:r>
        <w:rPr>
          <w:rFonts w:hint="eastAsia" w:ascii="宋体" w:hAnsi="宋体"/>
          <w:sz w:val="24"/>
          <w:lang w:val="en-GB"/>
        </w:rPr>
        <w:t>应承担相应赔偿责任。</w:t>
      </w:r>
      <w:r>
        <w:rPr>
          <w:rFonts w:hint="eastAsia" w:ascii="宋体" w:hAnsi="宋体"/>
          <w:sz w:val="24"/>
        </w:rPr>
        <w:t>中标人</w:t>
      </w:r>
      <w:r>
        <w:rPr>
          <w:rFonts w:hint="eastAsia" w:ascii="宋体" w:hAnsi="宋体"/>
          <w:sz w:val="24"/>
          <w:lang w:val="en-GB"/>
        </w:rPr>
        <w:t>出现违约情形，应当及时纠正或补偿；造成损失的，按合同约定追究违约责任；发现有假冒、伪劣、走私产品、商业贿赂等违法情形的，应由招标单位移交工商、质监、公安等行政执法部门依法查处。中标人不能及时供货的，按《</w:t>
      </w:r>
      <w:r>
        <w:rPr>
          <w:rFonts w:hint="eastAsia" w:ascii="宋体" w:hAnsi="宋体"/>
          <w:sz w:val="24"/>
        </w:rPr>
        <w:t>民</w:t>
      </w:r>
      <w:r>
        <w:rPr>
          <w:rFonts w:hint="eastAsia" w:ascii="宋体" w:hAnsi="宋体"/>
          <w:sz w:val="24"/>
          <w:lang w:val="en-GB"/>
        </w:rPr>
        <w:t>法</w:t>
      </w:r>
      <w:r>
        <w:rPr>
          <w:rFonts w:hint="eastAsia" w:ascii="宋体" w:hAnsi="宋体"/>
          <w:sz w:val="24"/>
        </w:rPr>
        <w:t>典</w:t>
      </w:r>
      <w:r>
        <w:rPr>
          <w:rFonts w:hint="eastAsia" w:ascii="宋体" w:hAnsi="宋体"/>
          <w:sz w:val="24"/>
          <w:lang w:val="en-GB"/>
        </w:rPr>
        <w:t>》规定处理，同时扣除相应合同履约金。另外，将视具体情况，限制其参加在本校范围内6个月至3年的采购招投标活动。</w:t>
      </w:r>
    </w:p>
    <w:p>
      <w:pPr>
        <w:spacing w:line="360" w:lineRule="exact"/>
        <w:ind w:left="422" w:leftChars="201" w:firstLine="480" w:firstLineChars="200"/>
        <w:rPr>
          <w:rFonts w:ascii="宋体" w:hAnsi="宋体"/>
          <w:sz w:val="24"/>
          <w:lang w:val="en-GB"/>
        </w:rPr>
      </w:pPr>
      <w:r>
        <w:rPr>
          <w:rFonts w:hint="eastAsia" w:ascii="宋体" w:hAnsi="宋体"/>
          <w:sz w:val="24"/>
          <w:lang w:val="en-GB"/>
        </w:rPr>
        <w:t>4.</w:t>
      </w:r>
      <w:r>
        <w:rPr>
          <w:rFonts w:hint="eastAsia" w:ascii="宋体" w:hAnsi="宋体"/>
          <w:sz w:val="24"/>
        </w:rPr>
        <w:t>中标人</w:t>
      </w:r>
      <w:r>
        <w:rPr>
          <w:rFonts w:hint="eastAsia" w:ascii="宋体" w:hAnsi="宋体"/>
          <w:sz w:val="24"/>
          <w:lang w:val="en-GB"/>
        </w:rPr>
        <w:t>如没有在合同规定的供货时限内交货并安装调试完成，招标人将向</w:t>
      </w:r>
      <w:r>
        <w:rPr>
          <w:rFonts w:hint="eastAsia" w:ascii="宋体" w:hAnsi="宋体"/>
          <w:sz w:val="24"/>
        </w:rPr>
        <w:t>中标人</w:t>
      </w:r>
      <w:r>
        <w:rPr>
          <w:rFonts w:hint="eastAsia" w:ascii="宋体" w:hAnsi="宋体"/>
          <w:sz w:val="24"/>
          <w:lang w:val="en-GB"/>
        </w:rPr>
        <w:t>发出书面违约通知并有权全部或部分终止合同，同时招标人由此造成的损失须由</w:t>
      </w:r>
      <w:r>
        <w:rPr>
          <w:rFonts w:hint="eastAsia" w:ascii="宋体" w:hAnsi="宋体"/>
          <w:sz w:val="24"/>
        </w:rPr>
        <w:t>中标人</w:t>
      </w:r>
      <w:r>
        <w:rPr>
          <w:rFonts w:hint="eastAsia" w:ascii="宋体" w:hAnsi="宋体"/>
          <w:sz w:val="24"/>
          <w:lang w:val="en-GB"/>
        </w:rPr>
        <w:t>负责赔偿。</w:t>
      </w:r>
    </w:p>
    <w:p>
      <w:pPr>
        <w:spacing w:line="360" w:lineRule="exact"/>
        <w:ind w:left="422" w:leftChars="201" w:firstLine="480" w:firstLineChars="200"/>
        <w:rPr>
          <w:rFonts w:ascii="宋体" w:hAnsi="宋体"/>
          <w:sz w:val="24"/>
          <w:lang w:val="en-GB"/>
        </w:rPr>
      </w:pPr>
      <w:r>
        <w:rPr>
          <w:rFonts w:hint="eastAsia" w:ascii="宋体" w:hAnsi="宋体"/>
          <w:sz w:val="24"/>
          <w:lang w:val="en-GB"/>
        </w:rPr>
        <w:t>5.招标单位故意推迟项目验收时间的，与</w:t>
      </w:r>
      <w:r>
        <w:rPr>
          <w:rFonts w:hint="eastAsia" w:ascii="宋体" w:hAnsi="宋体"/>
          <w:sz w:val="24"/>
        </w:rPr>
        <w:t>中标人</w:t>
      </w:r>
      <w:r>
        <w:rPr>
          <w:rFonts w:hint="eastAsia" w:ascii="宋体" w:hAnsi="宋体"/>
          <w:sz w:val="24"/>
          <w:lang w:val="en-GB"/>
        </w:rPr>
        <w:t>串通或要求</w:t>
      </w:r>
      <w:r>
        <w:rPr>
          <w:rFonts w:hint="eastAsia" w:ascii="宋体" w:hAnsi="宋体"/>
          <w:sz w:val="24"/>
        </w:rPr>
        <w:t>中标人</w:t>
      </w:r>
      <w:r>
        <w:rPr>
          <w:rFonts w:hint="eastAsia" w:ascii="宋体" w:hAnsi="宋体"/>
          <w:sz w:val="24"/>
          <w:lang w:val="en-GB"/>
        </w:rPr>
        <w:t>通过减少货物数量或降低服务标准的，在履行合同中采取更改配置、调换物品等手段的，要求供应商出具虚假发票或任意更改销售发票的，谋取不正当利益的，承担相应的法律责任。</w:t>
      </w:r>
    </w:p>
    <w:p>
      <w:pPr>
        <w:spacing w:line="360" w:lineRule="exact"/>
        <w:ind w:left="422" w:leftChars="201" w:firstLine="480" w:firstLineChars="200"/>
        <w:rPr>
          <w:rFonts w:ascii="宋体" w:hAnsi="宋体"/>
          <w:sz w:val="24"/>
          <w:lang w:val="en-GB"/>
        </w:rPr>
      </w:pPr>
      <w:r>
        <w:rPr>
          <w:rFonts w:hint="eastAsia" w:ascii="宋体" w:hAnsi="宋体"/>
          <w:sz w:val="24"/>
        </w:rPr>
        <w:t>6</w:t>
      </w:r>
      <w:r>
        <w:rPr>
          <w:rFonts w:hint="eastAsia" w:ascii="宋体" w:hAnsi="宋体"/>
          <w:sz w:val="24"/>
          <w:lang w:val="en-GB"/>
        </w:rPr>
        <w:t>.本项目的详细合同内容《合同文本》另行商定。</w:t>
      </w:r>
    </w:p>
    <w:p>
      <w:pPr>
        <w:spacing w:line="440" w:lineRule="exact"/>
        <w:rPr>
          <w:sz w:val="24"/>
        </w:rPr>
      </w:pPr>
    </w:p>
    <w:p>
      <w:pPr>
        <w:spacing w:line="440" w:lineRule="exact"/>
        <w:rPr>
          <w:rFonts w:ascii="宋体" w:hAnsi="宋体"/>
          <w:sz w:val="24"/>
        </w:rPr>
      </w:pPr>
      <w:r>
        <w:rPr>
          <w:rFonts w:ascii="宋体" w:hAnsi="宋体"/>
          <w:sz w:val="24"/>
        </w:rPr>
        <w:t xml:space="preserve"> </w:t>
      </w:r>
    </w:p>
    <w:p>
      <w:pPr>
        <w:pageBreakBefore/>
        <w:spacing w:line="360" w:lineRule="auto"/>
        <w:ind w:firstLine="643" w:firstLineChars="200"/>
        <w:jc w:val="center"/>
        <w:rPr>
          <w:b/>
          <w:bCs/>
          <w:sz w:val="32"/>
          <w:szCs w:val="32"/>
        </w:rPr>
      </w:pPr>
      <w:r>
        <w:rPr>
          <w:rFonts w:hint="eastAsia"/>
          <w:b/>
          <w:bCs/>
          <w:sz w:val="32"/>
          <w:szCs w:val="32"/>
        </w:rPr>
        <w:t>第五部分  采购项目需求</w:t>
      </w:r>
    </w:p>
    <w:p>
      <w:pPr>
        <w:spacing w:before="100" w:after="100"/>
        <w:jc w:val="center"/>
        <w:rPr>
          <w:rFonts w:ascii="宋体" w:hAnsi="宋体"/>
          <w:b/>
          <w:bCs/>
          <w:sz w:val="28"/>
          <w:szCs w:val="28"/>
        </w:rPr>
      </w:pPr>
      <w:r>
        <w:rPr>
          <w:rFonts w:hint="eastAsia" w:ascii="宋体" w:hAnsi="宋体"/>
          <w:b/>
          <w:bCs/>
          <w:sz w:val="28"/>
          <w:szCs w:val="28"/>
        </w:rPr>
        <w:t>第一章 合同主要条款</w:t>
      </w:r>
    </w:p>
    <w:p>
      <w:pPr>
        <w:spacing w:line="420" w:lineRule="atLeast"/>
        <w:ind w:firstLine="472" w:firstLineChars="196"/>
        <w:rPr>
          <w:b/>
          <w:sz w:val="24"/>
        </w:rPr>
      </w:pPr>
      <w:r>
        <w:rPr>
          <w:rFonts w:hint="eastAsia"/>
          <w:b/>
          <w:sz w:val="24"/>
        </w:rPr>
        <w:t>一、交货期</w:t>
      </w:r>
    </w:p>
    <w:p>
      <w:pPr>
        <w:spacing w:line="420" w:lineRule="atLeast"/>
        <w:ind w:firstLine="496" w:firstLineChars="200"/>
        <w:rPr>
          <w:rFonts w:hint="eastAsia" w:eastAsia="宋体"/>
          <w:sz w:val="24"/>
          <w:lang w:eastAsia="zh-CN"/>
        </w:rPr>
      </w:pPr>
      <w:r>
        <w:rPr>
          <w:rFonts w:hint="eastAsia" w:ascii="宋体" w:hAnsi="宋体" w:eastAsia="宋体" w:cs="宋体"/>
          <w:spacing w:val="4"/>
          <w:sz w:val="24"/>
          <w:lang w:eastAsia="zh-CN"/>
        </w:rPr>
        <w:t>中标后</w:t>
      </w:r>
      <w:r>
        <w:rPr>
          <w:rFonts w:hint="eastAsia" w:ascii="宋体" w:hAnsi="宋体" w:eastAsia="宋体" w:cs="宋体"/>
          <w:spacing w:val="4"/>
          <w:sz w:val="24"/>
          <w:lang w:val="en-US" w:eastAsia="zh-CN"/>
        </w:rPr>
        <w:t>3</w:t>
      </w:r>
      <w:r>
        <w:rPr>
          <w:rFonts w:hint="eastAsia" w:ascii="宋体" w:hAnsi="宋体" w:eastAsia="宋体" w:cs="宋体"/>
          <w:spacing w:val="4"/>
          <w:sz w:val="24"/>
          <w:lang w:eastAsia="zh-CN"/>
        </w:rPr>
        <w:t>天内与招标人进行项目交底</w:t>
      </w:r>
      <w:r>
        <w:rPr>
          <w:rFonts w:hint="eastAsia" w:ascii="宋体" w:hAnsi="宋体" w:eastAsia="宋体" w:cs="宋体"/>
          <w:spacing w:val="4"/>
          <w:sz w:val="24"/>
        </w:rPr>
        <w:t>，</w:t>
      </w:r>
      <w:r>
        <w:rPr>
          <w:rFonts w:hint="eastAsia" w:ascii="宋体" w:hAnsi="宋体" w:eastAsia="宋体" w:cs="宋体"/>
          <w:sz w:val="24"/>
          <w:szCs w:val="24"/>
        </w:rPr>
        <w:t>根据现场情况，由招标人书面通知进场日期</w:t>
      </w:r>
      <w:r>
        <w:rPr>
          <w:rFonts w:hint="eastAsia" w:ascii="宋体" w:hAnsi="宋体" w:cs="宋体"/>
          <w:sz w:val="24"/>
          <w:szCs w:val="24"/>
          <w:lang w:eastAsia="zh-CN"/>
        </w:rPr>
        <w:t>。</w:t>
      </w:r>
    </w:p>
    <w:p>
      <w:pPr>
        <w:spacing w:line="420" w:lineRule="atLeast"/>
        <w:ind w:firstLine="482" w:firstLineChars="200"/>
        <w:rPr>
          <w:b/>
          <w:sz w:val="24"/>
        </w:rPr>
      </w:pPr>
      <w:r>
        <w:rPr>
          <w:rFonts w:hint="eastAsia"/>
          <w:b/>
          <w:sz w:val="24"/>
        </w:rPr>
        <w:t>二、交货地点</w:t>
      </w:r>
    </w:p>
    <w:p>
      <w:pPr>
        <w:spacing w:line="360" w:lineRule="exact"/>
        <w:ind w:left="10" w:firstLine="540" w:firstLineChars="225"/>
        <w:rPr>
          <w:sz w:val="24"/>
        </w:rPr>
      </w:pPr>
      <w:r>
        <w:rPr>
          <w:rFonts w:hint="eastAsia"/>
          <w:sz w:val="24"/>
        </w:rPr>
        <w:t>南通理工学院南通校区</w:t>
      </w:r>
      <w:r>
        <w:rPr>
          <w:rFonts w:hint="eastAsia"/>
          <w:sz w:val="24"/>
          <w:lang w:val="en-US" w:eastAsia="zh-CN"/>
        </w:rPr>
        <w:t>健康医学院项目教学楼</w:t>
      </w:r>
      <w:r>
        <w:rPr>
          <w:rFonts w:hint="eastAsia"/>
          <w:sz w:val="24"/>
        </w:rPr>
        <w:t>。</w:t>
      </w:r>
    </w:p>
    <w:p>
      <w:pPr>
        <w:ind w:firstLine="482" w:firstLineChars="200"/>
        <w:rPr>
          <w:b/>
          <w:sz w:val="24"/>
        </w:rPr>
      </w:pPr>
      <w:r>
        <w:rPr>
          <w:rFonts w:hint="eastAsia"/>
          <w:b/>
          <w:sz w:val="24"/>
        </w:rPr>
        <w:t>三、质量要求</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ind w:firstLine="482" w:firstLineChars="200"/>
        <w:rPr>
          <w:b/>
          <w:sz w:val="24"/>
        </w:rPr>
      </w:pPr>
      <w:r>
        <w:rPr>
          <w:rFonts w:hint="eastAsia"/>
          <w:b/>
          <w:sz w:val="24"/>
        </w:rPr>
        <w:t>四、投标报价要求</w:t>
      </w:r>
    </w:p>
    <w:p>
      <w:pPr>
        <w:spacing w:line="360" w:lineRule="exact"/>
        <w:ind w:firstLine="480" w:firstLineChars="200"/>
        <w:rPr>
          <w:sz w:val="24"/>
        </w:rPr>
      </w:pPr>
      <w:r>
        <w:rPr>
          <w:rFonts w:hint="eastAsia"/>
          <w:sz w:val="24"/>
        </w:rPr>
        <w:t>本项目实行总承包制</w:t>
      </w:r>
      <w:r>
        <w:rPr>
          <w:rFonts w:hint="eastAsia"/>
          <w:sz w:val="24"/>
          <w:lang w:eastAsia="zh-CN"/>
        </w:rPr>
        <w:t>，投标人</w:t>
      </w:r>
      <w:r>
        <w:rPr>
          <w:rFonts w:hint="eastAsia"/>
          <w:sz w:val="24"/>
        </w:rPr>
        <w:t>应对本项目进行全面分析后按交钥匙工程报价。投标价格包括设备费、运输费、人工费、安装调试费、</w:t>
      </w:r>
      <w:r>
        <w:rPr>
          <w:rFonts w:hint="eastAsia"/>
          <w:sz w:val="24"/>
          <w:lang w:val="en-US" w:eastAsia="zh-CN"/>
        </w:rPr>
        <w:t>总包配合费（2%）、</w:t>
      </w:r>
      <w:r>
        <w:rPr>
          <w:rFonts w:hint="eastAsia"/>
          <w:sz w:val="24"/>
        </w:rPr>
        <w:t>利润、税费、验收、培训费及所有相关的直接、间接费用等各种费用和售后服务、税金</w:t>
      </w:r>
      <w:r>
        <w:rPr>
          <w:rFonts w:hint="eastAsia"/>
          <w:sz w:val="24"/>
          <w:lang w:eastAsia="zh-CN"/>
        </w:rPr>
        <w:t>及其他所有</w:t>
      </w:r>
      <w:r>
        <w:rPr>
          <w:rFonts w:hint="eastAsia"/>
          <w:sz w:val="24"/>
        </w:rPr>
        <w:t>成本费用的总和</w:t>
      </w:r>
      <w:r>
        <w:rPr>
          <w:rFonts w:hint="eastAsia"/>
          <w:sz w:val="24"/>
          <w:lang w:eastAsia="zh-CN"/>
        </w:rPr>
        <w:t>（</w:t>
      </w:r>
      <w:r>
        <w:rPr>
          <w:rFonts w:hint="eastAsia" w:ascii="Times New Roman" w:hAnsi="Times New Roman" w:eastAsia="宋体" w:cs="Times New Roman"/>
          <w:sz w:val="24"/>
        </w:rPr>
        <w:t>除因为</w:t>
      </w:r>
      <w:r>
        <w:rPr>
          <w:rFonts w:hint="eastAsia" w:ascii="Times New Roman" w:hAnsi="Times New Roman" w:eastAsia="宋体" w:cs="Times New Roman"/>
          <w:sz w:val="24"/>
          <w:lang w:eastAsia="zh-CN"/>
        </w:rPr>
        <w:t>方案</w:t>
      </w:r>
      <w:r>
        <w:rPr>
          <w:rFonts w:hint="eastAsia" w:ascii="Times New Roman" w:hAnsi="Times New Roman" w:eastAsia="宋体" w:cs="Times New Roman"/>
          <w:sz w:val="24"/>
        </w:rPr>
        <w:t>变更而导致数量改变的</w:t>
      </w:r>
      <w:r>
        <w:rPr>
          <w:rFonts w:hint="eastAsia" w:ascii="Times New Roman" w:hAnsi="Times New Roman" w:eastAsia="宋体" w:cs="Times New Roman"/>
          <w:sz w:val="24"/>
          <w:lang w:eastAsia="zh-CN"/>
        </w:rPr>
        <w:t>，</w:t>
      </w:r>
      <w:r>
        <w:rPr>
          <w:rFonts w:hint="eastAsia"/>
          <w:sz w:val="24"/>
          <w:lang w:eastAsia="zh-CN"/>
        </w:rPr>
        <w:t>招标人</w:t>
      </w:r>
      <w:r>
        <w:rPr>
          <w:rFonts w:hint="eastAsia"/>
          <w:sz w:val="24"/>
        </w:rPr>
        <w:t>人不再支付中标价以外的任何费用</w:t>
      </w:r>
      <w:r>
        <w:rPr>
          <w:rFonts w:hint="eastAsia"/>
          <w:sz w:val="24"/>
          <w:lang w:eastAsia="zh-CN"/>
        </w:rPr>
        <w:t>）</w:t>
      </w:r>
      <w:r>
        <w:rPr>
          <w:rFonts w:hint="eastAsia"/>
          <w:sz w:val="24"/>
        </w:rPr>
        <w:t>。</w:t>
      </w:r>
    </w:p>
    <w:p>
      <w:pPr>
        <w:spacing w:line="420" w:lineRule="atLeast"/>
        <w:ind w:firstLine="482" w:firstLineChars="200"/>
        <w:rPr>
          <w:b/>
          <w:sz w:val="24"/>
        </w:rPr>
      </w:pPr>
      <w:r>
        <w:rPr>
          <w:rFonts w:hint="eastAsia"/>
          <w:b/>
          <w:sz w:val="24"/>
        </w:rPr>
        <w:t>五、付款方式</w:t>
      </w:r>
    </w:p>
    <w:p>
      <w:pPr>
        <w:spacing w:line="420" w:lineRule="atLeast"/>
        <w:ind w:firstLine="480" w:firstLineChars="200"/>
        <w:rPr>
          <w:sz w:val="24"/>
        </w:rPr>
      </w:pPr>
      <w:r>
        <w:rPr>
          <w:rFonts w:hint="eastAsia"/>
          <w:sz w:val="24"/>
        </w:rPr>
        <w:t>1、</w:t>
      </w:r>
      <w:r>
        <w:rPr>
          <w:rFonts w:hint="eastAsia"/>
          <w:color w:val="FF0000"/>
          <w:sz w:val="24"/>
          <w:lang w:eastAsia="zh-CN"/>
        </w:rPr>
        <w:t>学校建议</w:t>
      </w:r>
      <w:r>
        <w:rPr>
          <w:rFonts w:hint="eastAsia"/>
          <w:color w:val="FF0000"/>
          <w:sz w:val="24"/>
        </w:rPr>
        <w:t>付款方式</w:t>
      </w:r>
      <w:r>
        <w:rPr>
          <w:rFonts w:hint="eastAsia"/>
          <w:sz w:val="24"/>
        </w:rPr>
        <w:t>：签订合同后</w:t>
      </w:r>
      <w:r>
        <w:rPr>
          <w:rFonts w:hint="eastAsia"/>
          <w:sz w:val="24"/>
          <w:lang w:val="en-US" w:eastAsia="zh-CN"/>
        </w:rPr>
        <w:t>10</w:t>
      </w:r>
      <w:r>
        <w:rPr>
          <w:rFonts w:hint="eastAsia"/>
          <w:sz w:val="24"/>
        </w:rPr>
        <w:t>个工作日内，采购人向中标供应商支付合同总价</w:t>
      </w:r>
      <w:r>
        <w:rPr>
          <w:rFonts w:hint="eastAsia"/>
          <w:sz w:val="24"/>
          <w:lang w:val="en-US" w:eastAsia="zh-CN"/>
        </w:rPr>
        <w:t>2</w:t>
      </w:r>
      <w:r>
        <w:rPr>
          <w:rFonts w:hint="eastAsia"/>
          <w:sz w:val="24"/>
        </w:rPr>
        <w:t>0%的预付款，全部设备安装完成经甲方和监理验收合格后一个月内付至合同总价的80%；验收</w:t>
      </w:r>
      <w:r>
        <w:rPr>
          <w:rFonts w:hint="eastAsia"/>
          <w:sz w:val="24"/>
          <w:lang w:eastAsia="zh-CN"/>
        </w:rPr>
        <w:t>合格满六</w:t>
      </w:r>
      <w:r>
        <w:rPr>
          <w:rFonts w:hint="eastAsia"/>
          <w:sz w:val="24"/>
        </w:rPr>
        <w:t>个月</w:t>
      </w:r>
      <w:r>
        <w:rPr>
          <w:rFonts w:hint="eastAsia"/>
          <w:sz w:val="24"/>
          <w:lang w:eastAsia="zh-CN"/>
        </w:rPr>
        <w:t>后一个月</w:t>
      </w:r>
      <w:r>
        <w:rPr>
          <w:rFonts w:hint="eastAsia"/>
          <w:sz w:val="24"/>
        </w:rPr>
        <w:t>内付</w:t>
      </w:r>
      <w:r>
        <w:rPr>
          <w:rFonts w:hint="eastAsia"/>
          <w:sz w:val="24"/>
          <w:lang w:eastAsia="zh-CN"/>
        </w:rPr>
        <w:t>至</w:t>
      </w:r>
      <w:r>
        <w:rPr>
          <w:rFonts w:hint="eastAsia"/>
          <w:sz w:val="24"/>
        </w:rPr>
        <w:t>总结算价的95%；剩余5%作为质保金，质保期为</w:t>
      </w:r>
      <w:r>
        <w:rPr>
          <w:rFonts w:hint="eastAsia"/>
          <w:sz w:val="24"/>
          <w:lang w:val="en-US" w:eastAsia="zh-CN"/>
        </w:rPr>
        <w:t>3</w:t>
      </w:r>
      <w:r>
        <w:rPr>
          <w:rFonts w:hint="eastAsia"/>
          <w:sz w:val="24"/>
        </w:rPr>
        <w:t>年，质量保修期自本工程通过验收之日起计算，扣除已支付款项及违约金满</w:t>
      </w:r>
      <w:r>
        <w:rPr>
          <w:rFonts w:hint="eastAsia"/>
          <w:sz w:val="24"/>
          <w:lang w:eastAsia="zh-CN"/>
        </w:rPr>
        <w:t>三</w:t>
      </w:r>
      <w:r>
        <w:rPr>
          <w:rFonts w:hint="eastAsia"/>
          <w:sz w:val="24"/>
        </w:rPr>
        <w:t>年后一次付清（无息）。</w:t>
      </w:r>
    </w:p>
    <w:p>
      <w:pPr>
        <w:spacing w:line="420" w:lineRule="atLeast"/>
        <w:ind w:firstLine="480" w:firstLineChars="200"/>
        <w:rPr>
          <w:sz w:val="24"/>
        </w:rPr>
      </w:pPr>
      <w:r>
        <w:rPr>
          <w:rFonts w:hint="eastAsia"/>
          <w:sz w:val="24"/>
        </w:rPr>
        <w:t>2、卖方应开具有效的增值税发票（</w:t>
      </w:r>
      <w:r>
        <w:rPr>
          <w:rFonts w:hint="eastAsia"/>
          <w:color w:val="FF0000"/>
          <w:sz w:val="24"/>
        </w:rPr>
        <w:t>总价的70%为13%税率的材料票，总价的30%为9%建安发票</w:t>
      </w:r>
      <w:r>
        <w:rPr>
          <w:rFonts w:hint="eastAsia"/>
          <w:sz w:val="24"/>
        </w:rPr>
        <w:t>）。</w:t>
      </w:r>
    </w:p>
    <w:p>
      <w:pPr>
        <w:spacing w:line="420" w:lineRule="atLeast"/>
        <w:ind w:firstLine="480" w:firstLineChars="200"/>
        <w:rPr>
          <w:sz w:val="24"/>
        </w:rPr>
      </w:pPr>
      <w:r>
        <w:rPr>
          <w:rFonts w:hint="eastAsia"/>
          <w:sz w:val="24"/>
        </w:rPr>
        <w:t>3、对以上付款方式有异议者，卖方在报价时可同时提出。</w:t>
      </w:r>
    </w:p>
    <w:p>
      <w:pPr>
        <w:spacing w:line="420" w:lineRule="atLeast"/>
        <w:ind w:firstLine="482" w:firstLineChars="200"/>
        <w:rPr>
          <w:sz w:val="24"/>
        </w:rPr>
      </w:pPr>
      <w:r>
        <w:rPr>
          <w:rFonts w:hint="eastAsia"/>
          <w:b/>
          <w:sz w:val="24"/>
        </w:rPr>
        <w:t>六、履约保证金</w:t>
      </w:r>
    </w:p>
    <w:p>
      <w:pPr>
        <w:spacing w:line="440" w:lineRule="exact"/>
        <w:ind w:firstLine="480" w:firstLineChars="200"/>
        <w:rPr>
          <w:rFonts w:ascii="宋体" w:hAnsi="宋体"/>
          <w:sz w:val="24"/>
        </w:rPr>
      </w:pPr>
      <w:r>
        <w:rPr>
          <w:rFonts w:hint="eastAsia" w:ascii="宋体" w:hAnsi="宋体"/>
          <w:sz w:val="24"/>
        </w:rPr>
        <w:t>中标单位</w:t>
      </w:r>
      <w:r>
        <w:rPr>
          <w:rFonts w:hint="eastAsia" w:ascii="宋体" w:hAnsi="宋体"/>
          <w:sz w:val="24"/>
          <w:lang w:eastAsia="zh-CN"/>
        </w:rPr>
        <w:t>缴纳</w:t>
      </w:r>
      <w:r>
        <w:rPr>
          <w:rFonts w:hint="eastAsia" w:ascii="宋体" w:hAnsi="宋体"/>
          <w:sz w:val="24"/>
        </w:rPr>
        <w:t>的投标保证金则转为履约保证金，</w:t>
      </w:r>
      <w:r>
        <w:rPr>
          <w:rFonts w:hint="eastAsia" w:ascii="宋体" w:hAnsi="宋体"/>
          <w:sz w:val="24"/>
          <w:lang w:eastAsia="zh-CN"/>
        </w:rPr>
        <w:t>项目结束且验收合格后</w:t>
      </w:r>
      <w:r>
        <w:rPr>
          <w:rFonts w:hint="eastAsia" w:ascii="宋体" w:hAnsi="宋体"/>
          <w:sz w:val="24"/>
        </w:rPr>
        <w:t>，将等额无息退还。</w:t>
      </w:r>
    </w:p>
    <w:p>
      <w:pPr>
        <w:spacing w:line="420" w:lineRule="atLeast"/>
        <w:ind w:firstLine="482" w:firstLineChars="200"/>
        <w:rPr>
          <w:b/>
          <w:sz w:val="24"/>
        </w:rPr>
      </w:pPr>
      <w:r>
        <w:rPr>
          <w:rFonts w:hint="eastAsia"/>
          <w:b/>
          <w:sz w:val="24"/>
        </w:rPr>
        <w:t>七、质量保证期及售后服务</w:t>
      </w:r>
    </w:p>
    <w:p>
      <w:pPr>
        <w:spacing w:line="420" w:lineRule="atLeast"/>
        <w:ind w:firstLine="480" w:firstLineChars="200"/>
        <w:rPr>
          <w:sz w:val="24"/>
        </w:rPr>
      </w:pPr>
      <w:r>
        <w:rPr>
          <w:rFonts w:hint="eastAsia"/>
          <w:sz w:val="24"/>
        </w:rPr>
        <w:t>1、整体项目质保期</w:t>
      </w:r>
      <w:r>
        <w:rPr>
          <w:rFonts w:hint="eastAsia"/>
          <w:sz w:val="24"/>
          <w:lang w:val="en-US" w:eastAsia="zh-CN"/>
        </w:rPr>
        <w:t>3</w:t>
      </w:r>
      <w:r>
        <w:rPr>
          <w:rFonts w:hint="eastAsia"/>
          <w:sz w:val="24"/>
        </w:rPr>
        <w:t>年</w:t>
      </w:r>
      <w:r>
        <w:rPr>
          <w:rFonts w:hint="eastAsia"/>
          <w:sz w:val="24"/>
          <w:lang w:eastAsia="zh-CN"/>
        </w:rPr>
        <w:t>（</w:t>
      </w:r>
      <w:r>
        <w:rPr>
          <w:rFonts w:hint="eastAsia"/>
          <w:sz w:val="24"/>
        </w:rPr>
        <w:t>其中电气部分按国家规范，采购需求文件中技术要求部分有其他规定的按要求执行</w:t>
      </w:r>
      <w:r>
        <w:rPr>
          <w:rFonts w:hint="eastAsia"/>
          <w:sz w:val="24"/>
          <w:lang w:eastAsia="zh-CN"/>
        </w:rPr>
        <w:t>）</w:t>
      </w:r>
      <w:r>
        <w:rPr>
          <w:rFonts w:hint="eastAsia"/>
          <w:sz w:val="24"/>
        </w:rPr>
        <w:t>。质保期从验收合格投入使用之日起计</w:t>
      </w:r>
      <w:r>
        <w:rPr>
          <w:rFonts w:hint="eastAsia"/>
          <w:sz w:val="24"/>
          <w:lang w:eastAsia="zh-CN"/>
        </w:rPr>
        <w:t>，</w:t>
      </w:r>
      <w:r>
        <w:rPr>
          <w:rFonts w:hint="eastAsia"/>
          <w:sz w:val="24"/>
        </w:rPr>
        <w:t>所有产品按国家“三包”规定保修。终身提供技术支持服务</w:t>
      </w:r>
      <w:r>
        <w:rPr>
          <w:rFonts w:hint="eastAsia"/>
          <w:sz w:val="24"/>
          <w:lang w:eastAsia="zh-CN"/>
        </w:rPr>
        <w:t>，</w:t>
      </w:r>
      <w:r>
        <w:rPr>
          <w:rFonts w:hint="eastAsia"/>
          <w:sz w:val="24"/>
        </w:rPr>
        <w:t>在质保</w:t>
      </w:r>
      <w:r>
        <w:rPr>
          <w:rFonts w:hint="eastAsia"/>
          <w:sz w:val="24"/>
          <w:lang w:eastAsia="zh-CN"/>
        </w:rPr>
        <w:t>期</w:t>
      </w:r>
      <w:r>
        <w:rPr>
          <w:rFonts w:hint="eastAsia"/>
          <w:sz w:val="24"/>
        </w:rPr>
        <w:t>内因货物质量、安装而造成货物损坏</w:t>
      </w:r>
      <w:r>
        <w:rPr>
          <w:rFonts w:hint="eastAsia"/>
          <w:sz w:val="24"/>
          <w:lang w:eastAsia="zh-CN"/>
        </w:rPr>
        <w:t>，</w:t>
      </w:r>
      <w:r>
        <w:rPr>
          <w:rFonts w:hint="eastAsia"/>
          <w:sz w:val="24"/>
        </w:rPr>
        <w:t>其全部费用由中标人负责。每学期要求至少巡检一次。</w:t>
      </w:r>
    </w:p>
    <w:p>
      <w:pPr>
        <w:spacing w:line="420" w:lineRule="atLeast"/>
        <w:ind w:firstLine="480" w:firstLineChars="200"/>
        <w:rPr>
          <w:sz w:val="24"/>
        </w:rPr>
      </w:pPr>
      <w:r>
        <w:rPr>
          <w:rFonts w:hint="eastAsia"/>
          <w:sz w:val="24"/>
        </w:rPr>
        <w:t>2、售后服务的其他条款</w:t>
      </w:r>
    </w:p>
    <w:p>
      <w:pPr>
        <w:spacing w:line="420" w:lineRule="atLeast"/>
        <w:ind w:firstLine="480" w:firstLineChars="200"/>
        <w:rPr>
          <w:sz w:val="24"/>
        </w:rPr>
      </w:pPr>
      <w:r>
        <w:rPr>
          <w:rFonts w:hint="eastAsia"/>
          <w:sz w:val="24"/>
        </w:rPr>
        <w:t>（</w:t>
      </w:r>
      <w:r>
        <w:rPr>
          <w:sz w:val="24"/>
        </w:rPr>
        <w:t>1</w:t>
      </w:r>
      <w:r>
        <w:rPr>
          <w:rFonts w:hint="eastAsia"/>
          <w:sz w:val="24"/>
        </w:rPr>
        <w:t>）在质保期内，供应商应对货物出现的质量及安全问题负责处理解决并承担一切费用。</w:t>
      </w:r>
    </w:p>
    <w:p>
      <w:pPr>
        <w:spacing w:line="420" w:lineRule="atLeast"/>
        <w:ind w:firstLine="480" w:firstLineChars="200"/>
        <w:rPr>
          <w:sz w:val="24"/>
        </w:rPr>
      </w:pPr>
      <w:r>
        <w:rPr>
          <w:rFonts w:hint="eastAsia"/>
          <w:sz w:val="24"/>
        </w:rPr>
        <w:t>（</w:t>
      </w:r>
      <w:r>
        <w:rPr>
          <w:sz w:val="24"/>
        </w:rPr>
        <w:t>2</w:t>
      </w:r>
      <w:r>
        <w:rPr>
          <w:rFonts w:hint="eastAsia"/>
          <w:sz w:val="24"/>
        </w:rPr>
        <w:t>）质保期内出现无法排除的故障，供应商需无条件更换同型号产品。</w:t>
      </w:r>
    </w:p>
    <w:p>
      <w:pPr>
        <w:spacing w:line="420" w:lineRule="atLeast"/>
        <w:ind w:firstLine="480" w:firstLineChars="200"/>
        <w:rPr>
          <w:sz w:val="24"/>
        </w:rPr>
      </w:pPr>
      <w:r>
        <w:rPr>
          <w:rFonts w:hint="eastAsia"/>
          <w:sz w:val="24"/>
        </w:rPr>
        <w:t>（</w:t>
      </w:r>
      <w:r>
        <w:rPr>
          <w:sz w:val="24"/>
        </w:rPr>
        <w:t>3</w:t>
      </w:r>
      <w:r>
        <w:rPr>
          <w:rFonts w:hint="eastAsia"/>
          <w:sz w:val="24"/>
        </w:rPr>
        <w:t>）质保期满后，供应商继续为采购人服务，仅收取零配件成本费。</w:t>
      </w:r>
    </w:p>
    <w:p>
      <w:pPr>
        <w:spacing w:line="420" w:lineRule="atLeast"/>
        <w:ind w:firstLine="480" w:firstLineChars="200"/>
        <w:rPr>
          <w:sz w:val="24"/>
        </w:rPr>
      </w:pPr>
      <w:r>
        <w:rPr>
          <w:rFonts w:hint="eastAsia"/>
          <w:sz w:val="24"/>
        </w:rPr>
        <w:t>（</w:t>
      </w:r>
      <w:r>
        <w:rPr>
          <w:sz w:val="24"/>
        </w:rPr>
        <w:t>4</w:t>
      </w:r>
      <w:r>
        <w:rPr>
          <w:rFonts w:hint="eastAsia"/>
          <w:sz w:val="24"/>
        </w:rPr>
        <w:t>）因人为因素出现的故障不在免费保修范围内。</w:t>
      </w:r>
    </w:p>
    <w:p>
      <w:pPr>
        <w:spacing w:line="420" w:lineRule="atLeast"/>
        <w:ind w:firstLine="480" w:firstLineChars="200"/>
        <w:rPr>
          <w:sz w:val="24"/>
        </w:rPr>
      </w:pPr>
      <w:r>
        <w:rPr>
          <w:rFonts w:hint="eastAsia"/>
          <w:sz w:val="24"/>
        </w:rPr>
        <w:t>（</w:t>
      </w:r>
      <w:r>
        <w:rPr>
          <w:sz w:val="24"/>
        </w:rPr>
        <w:t>5</w:t>
      </w:r>
      <w:r>
        <w:rPr>
          <w:rFonts w:hint="eastAsia"/>
          <w:sz w:val="24"/>
        </w:rPr>
        <w:t>）如在使用过程中发生质量问题，供应商维修响应时间：2小时以内；电话技术支持时间：12小时以内；若需上门维修，则在：24小时内到达现场并进行维修；不超过2个工作日解决故障。</w:t>
      </w:r>
    </w:p>
    <w:p>
      <w:pPr>
        <w:spacing w:line="420" w:lineRule="atLeast"/>
        <w:ind w:firstLine="480" w:firstLineChars="200"/>
        <w:rPr>
          <w:sz w:val="24"/>
        </w:rPr>
      </w:pPr>
      <w:r>
        <w:rPr>
          <w:rFonts w:hint="eastAsia"/>
          <w:sz w:val="24"/>
        </w:rPr>
        <w:t>（</w:t>
      </w:r>
      <w:r>
        <w:rPr>
          <w:sz w:val="24"/>
        </w:rPr>
        <w:t>6</w:t>
      </w:r>
      <w:r>
        <w:rPr>
          <w:rFonts w:hint="eastAsia"/>
          <w:sz w:val="24"/>
        </w:rPr>
        <w:t>）培训：供应商应对采购人的操作人员、维修人员免费进行培训；供应商应提供相应的培训计划</w:t>
      </w:r>
    </w:p>
    <w:p>
      <w:pPr>
        <w:spacing w:line="420" w:lineRule="atLeast"/>
        <w:ind w:firstLine="482" w:firstLineChars="200"/>
        <w:rPr>
          <w:b/>
          <w:sz w:val="24"/>
        </w:rPr>
      </w:pPr>
      <w:r>
        <w:rPr>
          <w:rFonts w:hint="eastAsia"/>
          <w:b/>
          <w:sz w:val="24"/>
        </w:rPr>
        <w:t>八、验收标准</w:t>
      </w:r>
    </w:p>
    <w:p>
      <w:pPr>
        <w:spacing w:line="420" w:lineRule="atLeast"/>
        <w:ind w:firstLine="480" w:firstLineChars="200"/>
        <w:rPr>
          <w:rFonts w:hint="eastAsia" w:ascii="Times New Roman" w:hAnsi="Times New Roman" w:eastAsia="宋体" w:cs="Times New Roman"/>
          <w:sz w:val="24"/>
        </w:rPr>
      </w:pPr>
      <w:r>
        <w:rPr>
          <w:rFonts w:hint="eastAsia"/>
          <w:sz w:val="24"/>
        </w:rPr>
        <w:t>1、验收由</w:t>
      </w:r>
      <w:r>
        <w:rPr>
          <w:rFonts w:hint="eastAsia"/>
          <w:sz w:val="24"/>
          <w:lang w:eastAsia="zh-CN"/>
        </w:rPr>
        <w:t>招标</w:t>
      </w:r>
      <w:r>
        <w:rPr>
          <w:rFonts w:hint="eastAsia"/>
          <w:sz w:val="24"/>
        </w:rPr>
        <w:t>人负责</w:t>
      </w:r>
      <w:r>
        <w:rPr>
          <w:rFonts w:hint="eastAsia"/>
          <w:sz w:val="24"/>
          <w:lang w:eastAsia="zh-CN"/>
        </w:rPr>
        <w:t>组织</w:t>
      </w:r>
      <w:r>
        <w:rPr>
          <w:rFonts w:hint="eastAsia"/>
          <w:sz w:val="24"/>
        </w:rPr>
        <w:t>实施</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本工程的产品质量必须符合现行国家、行业及工程所在地地方标准和技术规范及</w:t>
      </w:r>
      <w:r>
        <w:rPr>
          <w:rFonts w:hint="eastAsia" w:ascii="Times New Roman" w:hAnsi="Times New Roman" w:eastAsia="宋体" w:cs="Times New Roman"/>
          <w:sz w:val="24"/>
          <w:lang w:eastAsia="zh-CN"/>
        </w:rPr>
        <w:t>招标人</w:t>
      </w:r>
      <w:r>
        <w:rPr>
          <w:rFonts w:hint="eastAsia" w:ascii="Times New Roman" w:hAnsi="Times New Roman" w:eastAsia="宋体" w:cs="Times New Roman"/>
          <w:sz w:val="24"/>
        </w:rPr>
        <w:t>的要求。</w:t>
      </w:r>
    </w:p>
    <w:p>
      <w:pPr>
        <w:spacing w:line="420" w:lineRule="atLeast"/>
        <w:ind w:firstLine="480" w:firstLineChars="200"/>
        <w:rPr>
          <w:sz w:val="24"/>
        </w:rPr>
      </w:pPr>
      <w:r>
        <w:rPr>
          <w:sz w:val="24"/>
        </w:rPr>
        <w:t>2</w:t>
      </w:r>
      <w:r>
        <w:rPr>
          <w:rFonts w:hint="eastAsia"/>
          <w:sz w:val="24"/>
          <w:lang w:eastAsia="zh-CN"/>
        </w:rPr>
        <w:t>、</w:t>
      </w:r>
      <w:r>
        <w:rPr>
          <w:rFonts w:hint="eastAsia"/>
          <w:sz w:val="24"/>
        </w:rPr>
        <w:t>验收依据：</w:t>
      </w:r>
    </w:p>
    <w:p>
      <w:pPr>
        <w:spacing w:line="420" w:lineRule="atLeast"/>
        <w:ind w:firstLine="480" w:firstLineChars="200"/>
        <w:rPr>
          <w:sz w:val="24"/>
        </w:rPr>
      </w:pPr>
      <w:r>
        <w:rPr>
          <w:rFonts w:hint="eastAsia"/>
          <w:sz w:val="24"/>
        </w:rPr>
        <w:t>（</w:t>
      </w:r>
      <w:r>
        <w:rPr>
          <w:sz w:val="24"/>
        </w:rPr>
        <w:t>1</w:t>
      </w:r>
      <w:r>
        <w:rPr>
          <w:rFonts w:hint="eastAsia"/>
          <w:sz w:val="24"/>
        </w:rPr>
        <w:t>）合同、招标文件、</w:t>
      </w:r>
      <w:r>
        <w:rPr>
          <w:rFonts w:hint="eastAsia"/>
          <w:sz w:val="24"/>
          <w:lang w:eastAsia="zh-CN"/>
        </w:rPr>
        <w:t>招标人现场代表签字确认的方案等</w:t>
      </w:r>
      <w:r>
        <w:rPr>
          <w:rFonts w:hint="eastAsia"/>
          <w:sz w:val="24"/>
        </w:rPr>
        <w:t>；</w:t>
      </w:r>
    </w:p>
    <w:p>
      <w:pPr>
        <w:spacing w:line="420" w:lineRule="atLeast"/>
        <w:ind w:firstLine="480" w:firstLineChars="200"/>
        <w:rPr>
          <w:sz w:val="24"/>
        </w:rPr>
      </w:pPr>
      <w:r>
        <w:rPr>
          <w:rFonts w:hint="eastAsia"/>
          <w:sz w:val="24"/>
        </w:rPr>
        <w:t>（</w:t>
      </w:r>
      <w:r>
        <w:rPr>
          <w:sz w:val="24"/>
        </w:rPr>
        <w:t>2</w:t>
      </w:r>
      <w:r>
        <w:rPr>
          <w:rFonts w:hint="eastAsia"/>
          <w:sz w:val="24"/>
        </w:rPr>
        <w:t>）供应商提供的技术规格、经采购人认可的合同货物的有效检验文件；</w:t>
      </w:r>
    </w:p>
    <w:p>
      <w:pPr>
        <w:spacing w:line="420" w:lineRule="atLeast"/>
        <w:ind w:firstLine="480" w:firstLineChars="200"/>
        <w:rPr>
          <w:sz w:val="24"/>
        </w:rPr>
      </w:pPr>
      <w:r>
        <w:rPr>
          <w:rFonts w:hint="eastAsia"/>
          <w:sz w:val="24"/>
        </w:rPr>
        <w:t>（</w:t>
      </w:r>
      <w:r>
        <w:rPr>
          <w:sz w:val="24"/>
        </w:rPr>
        <w:t>3</w:t>
      </w:r>
      <w:r>
        <w:rPr>
          <w:rFonts w:hint="eastAsia"/>
          <w:sz w:val="24"/>
        </w:rPr>
        <w:t>）供应商响应文件中提供的经采购人认可的合同货物的验收标准（符合中国有关的国家、地方、行业标准）和检测办法及相应检测手段。</w:t>
      </w:r>
    </w:p>
    <w:p>
      <w:pPr>
        <w:spacing w:line="420" w:lineRule="atLeast"/>
        <w:ind w:firstLine="480" w:firstLineChars="200"/>
        <w:rPr>
          <w:sz w:val="24"/>
        </w:rPr>
      </w:pPr>
      <w:r>
        <w:rPr>
          <w:sz w:val="24"/>
        </w:rPr>
        <w:t>3</w:t>
      </w:r>
      <w:r>
        <w:rPr>
          <w:rFonts w:hint="eastAsia"/>
          <w:sz w:val="24"/>
        </w:rPr>
        <w:t>、供应商应派员在所供货物到采购人处时进行到货验收，有需要时能联系产品制造商到场共同验收，若发现任何损坏及质量问题，供应商负责妥善处理直至采购人满意，由此产生的费用由供应商承担。</w:t>
      </w:r>
    </w:p>
    <w:p>
      <w:pPr>
        <w:spacing w:line="420" w:lineRule="atLeast"/>
        <w:ind w:firstLine="480" w:firstLineChars="200"/>
        <w:rPr>
          <w:sz w:val="24"/>
        </w:rPr>
      </w:pPr>
      <w:r>
        <w:rPr>
          <w:sz w:val="24"/>
        </w:rPr>
        <w:t>4</w:t>
      </w:r>
      <w:r>
        <w:rPr>
          <w:rFonts w:hint="eastAsia"/>
          <w:sz w:val="24"/>
        </w:rPr>
        <w:t>、验收合格的条件：</w:t>
      </w:r>
    </w:p>
    <w:p>
      <w:pPr>
        <w:spacing w:line="420" w:lineRule="atLeast"/>
        <w:ind w:firstLine="480" w:firstLineChars="200"/>
        <w:rPr>
          <w:sz w:val="24"/>
        </w:rPr>
      </w:pPr>
      <w:r>
        <w:rPr>
          <w:rFonts w:hint="eastAsia"/>
          <w:sz w:val="24"/>
        </w:rPr>
        <w:t>（</w:t>
      </w:r>
      <w:r>
        <w:rPr>
          <w:sz w:val="24"/>
        </w:rPr>
        <w:t>1</w:t>
      </w:r>
      <w:r>
        <w:rPr>
          <w:rFonts w:hint="eastAsia"/>
          <w:sz w:val="24"/>
        </w:rPr>
        <w:t>）所供货物符合产品标准和及合同的要求；</w:t>
      </w:r>
    </w:p>
    <w:p>
      <w:pPr>
        <w:spacing w:line="420" w:lineRule="atLeast"/>
        <w:ind w:firstLine="480" w:firstLineChars="200"/>
        <w:rPr>
          <w:sz w:val="24"/>
        </w:rPr>
      </w:pPr>
      <w:r>
        <w:rPr>
          <w:rFonts w:hint="eastAsia"/>
          <w:sz w:val="24"/>
        </w:rPr>
        <w:t>（</w:t>
      </w:r>
      <w:r>
        <w:rPr>
          <w:sz w:val="24"/>
        </w:rPr>
        <w:t>2</w:t>
      </w:r>
      <w:r>
        <w:rPr>
          <w:rFonts w:hint="eastAsia"/>
          <w:sz w:val="24"/>
        </w:rPr>
        <w:t>）在进行测试和验收过程中发现的问题已被解决并得到采购人的认可；</w:t>
      </w:r>
    </w:p>
    <w:p>
      <w:pPr>
        <w:spacing w:line="420" w:lineRule="atLeast"/>
        <w:ind w:firstLine="480" w:firstLineChars="200"/>
        <w:rPr>
          <w:sz w:val="24"/>
        </w:rPr>
      </w:pPr>
      <w:r>
        <w:rPr>
          <w:rFonts w:hint="eastAsia"/>
          <w:sz w:val="24"/>
        </w:rPr>
        <w:t>（</w:t>
      </w:r>
      <w:r>
        <w:rPr>
          <w:sz w:val="24"/>
        </w:rPr>
        <w:t>3</w:t>
      </w:r>
      <w:r>
        <w:rPr>
          <w:rFonts w:hint="eastAsia"/>
          <w:sz w:val="24"/>
        </w:rPr>
        <w:t>）合同中规定的所有货物和材料均已交付；</w:t>
      </w:r>
    </w:p>
    <w:p>
      <w:pPr>
        <w:spacing w:line="420" w:lineRule="atLeast"/>
        <w:ind w:firstLine="480" w:firstLineChars="200"/>
        <w:rPr>
          <w:sz w:val="24"/>
        </w:rPr>
      </w:pPr>
      <w:r>
        <w:rPr>
          <w:rFonts w:hint="eastAsia"/>
          <w:sz w:val="24"/>
        </w:rPr>
        <w:t>（</w:t>
      </w:r>
      <w:r>
        <w:rPr>
          <w:sz w:val="24"/>
        </w:rPr>
        <w:t>4</w:t>
      </w:r>
      <w:r>
        <w:rPr>
          <w:rFonts w:hint="eastAsia"/>
          <w:sz w:val="24"/>
        </w:rPr>
        <w:t>）所供货物已通过使用单位组织的验收；</w:t>
      </w:r>
    </w:p>
    <w:p>
      <w:pPr>
        <w:spacing w:line="420" w:lineRule="atLeast"/>
        <w:ind w:firstLine="480" w:firstLineChars="200"/>
        <w:rPr>
          <w:sz w:val="24"/>
        </w:rPr>
      </w:pPr>
      <w:r>
        <w:rPr>
          <w:rFonts w:hint="eastAsia"/>
          <w:sz w:val="24"/>
        </w:rPr>
        <w:t>（</w:t>
      </w:r>
      <w:r>
        <w:rPr>
          <w:sz w:val="24"/>
        </w:rPr>
        <w:t>5</w:t>
      </w:r>
      <w:r>
        <w:rPr>
          <w:rFonts w:hint="eastAsia"/>
          <w:sz w:val="24"/>
        </w:rPr>
        <w:t>）所有相关的技术文件及资料均已提交并得到接受。</w:t>
      </w:r>
    </w:p>
    <w:p>
      <w:pPr>
        <w:spacing w:before="100" w:after="100"/>
        <w:jc w:val="center"/>
        <w:rPr>
          <w:rFonts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ascii="宋体" w:hAnsi="宋体" w:cs="宋体"/>
          <w:b/>
          <w:sz w:val="24"/>
        </w:rPr>
      </w:pPr>
      <w:r>
        <w:rPr>
          <w:rFonts w:hint="eastAsia" w:ascii="宋体" w:hAnsi="宋体" w:cs="宋体"/>
          <w:b/>
          <w:sz w:val="24"/>
        </w:rPr>
        <w:t>一、 报价要求：</w:t>
      </w:r>
    </w:p>
    <w:p>
      <w:pPr>
        <w:spacing w:before="100" w:after="100"/>
        <w:ind w:firstLine="480" w:firstLineChars="200"/>
        <w:rPr>
          <w:rFonts w:ascii="宋体" w:hAnsi="宋体" w:cs="宋体"/>
          <w:sz w:val="24"/>
        </w:rPr>
      </w:pPr>
      <w:r>
        <w:rPr>
          <w:rFonts w:hint="eastAsia" w:ascii="宋体" w:hAnsi="宋体" w:cs="宋体"/>
          <w:sz w:val="24"/>
        </w:rPr>
        <w:t>1、报价应注明各产品品牌、规格、型号、参数、数量等。</w:t>
      </w:r>
    </w:p>
    <w:p>
      <w:pPr>
        <w:spacing w:before="100" w:after="100"/>
        <w:ind w:firstLine="480" w:firstLineChars="200"/>
        <w:rPr>
          <w:rFonts w:ascii="宋体" w:hAnsi="宋体" w:cs="宋体"/>
          <w:sz w:val="24"/>
        </w:rPr>
      </w:pPr>
      <w:r>
        <w:rPr>
          <w:rFonts w:hint="eastAsia" w:ascii="宋体" w:hAnsi="宋体" w:cs="宋体"/>
          <w:sz w:val="24"/>
        </w:rPr>
        <w:t>2、提供以本标书清单为基准的项目报价；一个标的只允许一个报价，不接受任何有选择性</w:t>
      </w:r>
      <w:r>
        <w:rPr>
          <w:rFonts w:hint="eastAsia" w:ascii="宋体" w:hAnsi="宋体" w:cs="宋体"/>
          <w:sz w:val="24"/>
          <w:lang w:eastAsia="zh-CN"/>
        </w:rPr>
        <w:t>的</w:t>
      </w:r>
      <w:r>
        <w:rPr>
          <w:rFonts w:hint="eastAsia" w:ascii="宋体" w:hAnsi="宋体" w:cs="宋体"/>
          <w:sz w:val="24"/>
        </w:rPr>
        <w:t>报价。</w:t>
      </w:r>
    </w:p>
    <w:p>
      <w:pPr>
        <w:spacing w:before="100" w:after="100"/>
        <w:ind w:firstLine="480" w:firstLineChars="200"/>
        <w:rPr>
          <w:rFonts w:ascii="宋体" w:hAnsi="宋体" w:cs="宋体"/>
          <w:sz w:val="24"/>
        </w:rPr>
      </w:pPr>
      <w:r>
        <w:rPr>
          <w:rFonts w:hint="eastAsia" w:ascii="宋体" w:hAnsi="宋体" w:cs="宋体"/>
          <w:sz w:val="24"/>
        </w:rPr>
        <w:t>3、报价方式为国内指定地点交货价</w:t>
      </w:r>
      <w:r>
        <w:rPr>
          <w:rFonts w:hint="eastAsia" w:ascii="宋体" w:hAnsi="宋体" w:cs="宋体"/>
          <w:color w:val="0000FF"/>
          <w:sz w:val="24"/>
          <w:lang w:eastAsia="zh-CN"/>
        </w:rPr>
        <w:t>（</w:t>
      </w:r>
      <w:r>
        <w:rPr>
          <w:rFonts w:hint="eastAsia" w:ascii="宋体" w:hAnsi="宋体" w:cs="宋体"/>
          <w:color w:val="0000FF"/>
          <w:sz w:val="24"/>
          <w:lang w:val="en-US" w:eastAsia="zh-CN"/>
        </w:rPr>
        <w:t>包干总价</w:t>
      </w:r>
      <w:r>
        <w:rPr>
          <w:rFonts w:hint="eastAsia" w:ascii="宋体" w:hAnsi="宋体" w:cs="宋体"/>
          <w:color w:val="0000FF"/>
          <w:sz w:val="24"/>
          <w:lang w:eastAsia="zh-CN"/>
        </w:rPr>
        <w:t>）</w:t>
      </w:r>
      <w:r>
        <w:rPr>
          <w:rFonts w:hint="eastAsia" w:ascii="宋体" w:hAnsi="宋体" w:cs="宋体"/>
          <w:sz w:val="24"/>
        </w:rPr>
        <w:t>，并以人民币为报价货币，报价中必须包含设备的购置费用、运输费用、</w:t>
      </w:r>
      <w:r>
        <w:rPr>
          <w:rFonts w:hint="eastAsia" w:ascii="宋体" w:hAnsi="宋体" w:cs="宋体"/>
          <w:sz w:val="24"/>
          <w:lang w:val="en-US" w:eastAsia="zh-CN"/>
        </w:rPr>
        <w:t>安装调试费用、总包配合费、</w:t>
      </w:r>
      <w:r>
        <w:rPr>
          <w:rFonts w:hint="eastAsia" w:ascii="宋体" w:hAnsi="宋体" w:cs="宋体"/>
          <w:sz w:val="24"/>
        </w:rPr>
        <w:t>售后服务费用以及各种税务费用（提供增值税专用发票）。</w:t>
      </w:r>
    </w:p>
    <w:p>
      <w:pPr>
        <w:spacing w:before="100" w:after="100"/>
        <w:ind w:firstLine="480" w:firstLineChars="200"/>
        <w:rPr>
          <w:rFonts w:ascii="宋体" w:hAnsi="宋体" w:cs="宋体"/>
          <w:b/>
          <w:bCs/>
          <w:sz w:val="24"/>
        </w:rPr>
      </w:pPr>
      <w:r>
        <w:rPr>
          <w:rFonts w:hint="eastAsia" w:ascii="宋体" w:hAnsi="宋体" w:cs="宋体"/>
          <w:sz w:val="24"/>
        </w:rPr>
        <w:t>4、投标人所提供的产品、服务均需要明确价格，如未标明价格或已标明单项价格而未计入总价，则投标人默认该项目为免费提供。</w:t>
      </w:r>
    </w:p>
    <w:p>
      <w:pPr>
        <w:spacing w:before="100" w:after="100"/>
        <w:ind w:firstLine="482" w:firstLineChars="200"/>
        <w:rPr>
          <w:rFonts w:ascii="宋体" w:hAnsi="宋体" w:cs="宋体"/>
          <w:b/>
          <w:bCs/>
          <w:sz w:val="24"/>
        </w:rPr>
      </w:pPr>
      <w:r>
        <w:rPr>
          <w:rFonts w:hint="eastAsia" w:ascii="宋体" w:hAnsi="宋体" w:cs="宋体"/>
          <w:b/>
          <w:bCs/>
          <w:sz w:val="24"/>
        </w:rPr>
        <w:t>二、 其他相关说明：</w:t>
      </w:r>
    </w:p>
    <w:p>
      <w:pPr>
        <w:spacing w:before="100" w:after="100"/>
        <w:ind w:firstLine="480" w:firstLineChars="200"/>
        <w:rPr>
          <w:rFonts w:ascii="宋体" w:hAnsi="宋体" w:cs="宋体"/>
          <w:sz w:val="24"/>
        </w:rPr>
      </w:pPr>
      <w:r>
        <w:rPr>
          <w:rFonts w:hint="eastAsia" w:ascii="宋体" w:hAnsi="宋体" w:cs="宋体"/>
          <w:sz w:val="24"/>
        </w:rPr>
        <w:t>1、投标人一旦参加投标</w:t>
      </w:r>
      <w:r>
        <w:rPr>
          <w:rFonts w:hint="eastAsia" w:ascii="宋体" w:hAnsi="宋体" w:cs="宋体"/>
          <w:sz w:val="24"/>
          <w:lang w:eastAsia="zh-CN"/>
        </w:rPr>
        <w:t>，</w:t>
      </w:r>
      <w:r>
        <w:rPr>
          <w:rFonts w:hint="eastAsia" w:ascii="宋体" w:hAnsi="宋体" w:cs="宋体"/>
          <w:sz w:val="24"/>
        </w:rPr>
        <w:t>就意味着已接受招标文件的所有条款及要求</w:t>
      </w:r>
      <w:r>
        <w:rPr>
          <w:rFonts w:hint="eastAsia" w:ascii="宋体" w:hAnsi="宋体" w:cs="宋体"/>
          <w:sz w:val="24"/>
          <w:lang w:eastAsia="zh-CN"/>
        </w:rPr>
        <w:t>，</w:t>
      </w:r>
      <w:r>
        <w:rPr>
          <w:rFonts w:hint="eastAsia" w:ascii="宋体" w:hAnsi="宋体" w:cs="宋体"/>
          <w:sz w:val="24"/>
        </w:rPr>
        <w:t>并受其约束。无论投标结果如何，投标人自行承担与投标响应有关的全部费用。</w:t>
      </w:r>
    </w:p>
    <w:p>
      <w:pPr>
        <w:spacing w:before="100" w:after="100"/>
        <w:ind w:firstLine="480" w:firstLineChars="200"/>
        <w:rPr>
          <w:rFonts w:ascii="宋体" w:hAnsi="宋体" w:cs="宋体"/>
          <w:sz w:val="24"/>
        </w:rPr>
      </w:pPr>
      <w:r>
        <w:rPr>
          <w:rFonts w:hint="eastAsia" w:ascii="宋体" w:hAnsi="宋体" w:cs="宋体"/>
          <w:sz w:val="24"/>
        </w:rPr>
        <w:t>2、</w:t>
      </w:r>
      <w:r>
        <w:rPr>
          <w:rFonts w:hint="eastAsia" w:ascii="宋体" w:hAnsi="宋体"/>
          <w:sz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firstLine="480" w:firstLineChars="200"/>
        <w:rPr>
          <w:rFonts w:ascii="宋体" w:hAnsi="宋体" w:cs="宋体"/>
          <w:sz w:val="24"/>
        </w:rPr>
      </w:pPr>
      <w:r>
        <w:rPr>
          <w:rFonts w:ascii="宋体" w:hAnsi="宋体" w:cs="宋体"/>
          <w:sz w:val="24"/>
        </w:rPr>
        <w:t>3</w:t>
      </w:r>
      <w:r>
        <w:rPr>
          <w:rFonts w:hint="eastAsia" w:ascii="宋体" w:hAnsi="宋体" w:cs="宋体"/>
          <w:sz w:val="24"/>
        </w:rPr>
        <w:t>、为确保产品的质量及供货时间，中标人须根据要求提供针对本次采购项目的供货证明、相应年限的原厂商质保承诺函。否则将不予通过项目验收。</w:t>
      </w:r>
    </w:p>
    <w:p>
      <w:pPr>
        <w:spacing w:before="100" w:after="100"/>
        <w:ind w:firstLine="480" w:firstLineChars="200"/>
        <w:rPr>
          <w:rFonts w:ascii="宋体" w:hAnsi="宋体" w:cs="宋体"/>
          <w:sz w:val="24"/>
        </w:rPr>
      </w:pPr>
      <w:r>
        <w:rPr>
          <w:rFonts w:ascii="宋体" w:hAnsi="宋体" w:cs="宋体"/>
          <w:sz w:val="24"/>
        </w:rPr>
        <w:t>4</w:t>
      </w:r>
      <w:r>
        <w:rPr>
          <w:rFonts w:hint="eastAsia" w:ascii="宋体" w:hAnsi="宋体" w:cs="宋体"/>
          <w:sz w:val="24"/>
        </w:rPr>
        <w:t>、中标供应商相关人员在进入学校及安装现场后，应遵守国家相关法律法规和学校管理规定，做好安全防护措施，注意安全文明施工，施工范围内的一切安全责任由中标供应商负责承担。</w:t>
      </w:r>
    </w:p>
    <w:p>
      <w:pPr>
        <w:spacing w:before="100" w:after="100"/>
        <w:ind w:firstLine="480" w:firstLineChars="200"/>
        <w:rPr>
          <w:rFonts w:ascii="宋体" w:hAnsi="宋体" w:cs="宋体"/>
          <w:sz w:val="24"/>
        </w:rPr>
      </w:pPr>
      <w:r>
        <w:rPr>
          <w:rFonts w:ascii="宋体" w:hAnsi="宋体" w:cs="宋体"/>
          <w:sz w:val="24"/>
        </w:rPr>
        <w:t>5</w:t>
      </w:r>
      <w:r>
        <w:rPr>
          <w:rFonts w:hint="eastAsia" w:ascii="宋体" w:hAnsi="宋体" w:cs="宋体"/>
          <w:sz w:val="24"/>
        </w:rPr>
        <w:t>、中标人提供的产品及服务不满足招标文件要求导致验收不合格的</w:t>
      </w:r>
      <w:r>
        <w:rPr>
          <w:rFonts w:hint="eastAsia" w:ascii="宋体" w:hAnsi="宋体" w:cs="宋体"/>
          <w:sz w:val="24"/>
          <w:lang w:eastAsia="zh-CN"/>
        </w:rPr>
        <w:t>，</w:t>
      </w:r>
      <w:r>
        <w:rPr>
          <w:rFonts w:hint="eastAsia" w:ascii="宋体" w:hAnsi="宋体" w:cs="宋体"/>
          <w:sz w:val="24"/>
        </w:rPr>
        <w:t>采购人有权解除合同并追究中标人的法律责任。</w:t>
      </w:r>
    </w:p>
    <w:p>
      <w:pPr>
        <w:spacing w:before="100" w:after="100"/>
        <w:ind w:firstLine="480" w:firstLineChars="200"/>
        <w:rPr>
          <w:rFonts w:ascii="宋体" w:hAnsi="宋体" w:cs="宋体"/>
          <w:sz w:val="24"/>
        </w:rPr>
      </w:pPr>
      <w:r>
        <w:rPr>
          <w:rFonts w:ascii="宋体" w:hAnsi="宋体" w:cs="宋体"/>
          <w:sz w:val="24"/>
        </w:rPr>
        <w:t>6</w:t>
      </w:r>
      <w:r>
        <w:rPr>
          <w:rFonts w:hint="eastAsia" w:ascii="宋体" w:hAnsi="宋体" w:cs="宋体"/>
          <w:sz w:val="24"/>
        </w:rPr>
        <w:t>、投标人根据招标人的需求、现场勘察的情况</w:t>
      </w:r>
      <w:r>
        <w:rPr>
          <w:rFonts w:hint="eastAsia" w:ascii="宋体" w:hAnsi="宋体" w:cs="宋体"/>
          <w:sz w:val="24"/>
          <w:lang w:eastAsia="zh-CN"/>
        </w:rPr>
        <w:t>，</w:t>
      </w:r>
      <w:r>
        <w:rPr>
          <w:rFonts w:hint="eastAsia" w:ascii="宋体" w:hAnsi="宋体" w:cs="宋体"/>
          <w:sz w:val="24"/>
        </w:rPr>
        <w:t>设计项目实施方案</w:t>
      </w:r>
      <w:r>
        <w:rPr>
          <w:rFonts w:hint="eastAsia" w:ascii="宋体" w:hAnsi="宋体" w:cs="宋体"/>
          <w:sz w:val="24"/>
          <w:lang w:eastAsia="zh-CN"/>
        </w:rPr>
        <w:t>，</w:t>
      </w:r>
      <w:r>
        <w:rPr>
          <w:rFonts w:hint="eastAsia" w:ascii="宋体" w:hAnsi="宋体" w:cs="宋体"/>
          <w:sz w:val="24"/>
        </w:rPr>
        <w:t>编制相关图纸。</w:t>
      </w:r>
    </w:p>
    <w:p>
      <w:pPr>
        <w:spacing w:before="100" w:after="100"/>
        <w:ind w:firstLine="480" w:firstLineChars="200"/>
        <w:rPr>
          <w:rFonts w:ascii="宋体" w:hAnsi="宋体" w:cs="宋体"/>
          <w:sz w:val="24"/>
        </w:rPr>
      </w:pPr>
      <w:r>
        <w:rPr>
          <w:rFonts w:ascii="宋体" w:hAnsi="宋体" w:cs="宋体"/>
          <w:sz w:val="24"/>
        </w:rPr>
        <w:br w:type="page"/>
      </w:r>
    </w:p>
    <w:p>
      <w:pPr>
        <w:spacing w:before="100" w:after="100"/>
        <w:jc w:val="center"/>
        <w:rPr>
          <w:rFonts w:ascii="宋体" w:hAnsi="宋体"/>
          <w:b/>
          <w:bCs/>
          <w:sz w:val="28"/>
          <w:szCs w:val="28"/>
        </w:rPr>
      </w:pPr>
      <w:r>
        <w:rPr>
          <w:rFonts w:hint="eastAsia" w:ascii="宋体" w:hAnsi="宋体"/>
          <w:b/>
          <w:bCs/>
          <w:sz w:val="28"/>
          <w:szCs w:val="28"/>
        </w:rPr>
        <w:t>第三章 采购技术规格及要求</w:t>
      </w:r>
    </w:p>
    <w:p>
      <w:pPr>
        <w:snapToGrid w:val="0"/>
        <w:spacing w:line="360" w:lineRule="exact"/>
        <w:rPr>
          <w:rFonts w:ascii="宋体" w:hAnsi="宋体" w:cs="Arial"/>
          <w:b/>
          <w:color w:val="000000"/>
          <w:szCs w:val="21"/>
        </w:rPr>
      </w:pPr>
      <w:r>
        <w:rPr>
          <w:rFonts w:hint="eastAsia" w:ascii="宋体" w:hAnsi="宋体" w:cs="Arial"/>
          <w:b/>
          <w:color w:val="000000"/>
        </w:rPr>
        <w:t>一、货物需求一览表：</w:t>
      </w:r>
    </w:p>
    <w:tbl>
      <w:tblPr>
        <w:tblStyle w:val="13"/>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17"/>
        <w:gridCol w:w="4627"/>
        <w:gridCol w:w="83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kern w:val="0"/>
                <w:sz w:val="20"/>
                <w:szCs w:val="20"/>
              </w:rPr>
            </w:pPr>
            <w:r>
              <w:rPr>
                <w:rFonts w:hint="eastAsia" w:ascii="宋体" w:hAnsi="宋体"/>
                <w:b/>
                <w:bCs/>
                <w:kern w:val="0"/>
                <w:sz w:val="20"/>
                <w:szCs w:val="20"/>
              </w:rPr>
              <w:t>序号</w:t>
            </w:r>
          </w:p>
        </w:tc>
        <w:tc>
          <w:tcPr>
            <w:tcW w:w="2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sz w:val="20"/>
                <w:szCs w:val="20"/>
              </w:rPr>
            </w:pPr>
            <w:r>
              <w:rPr>
                <w:rFonts w:hint="eastAsia" w:ascii="宋体" w:hAnsi="宋体"/>
                <w:b/>
                <w:bCs/>
                <w:kern w:val="0"/>
                <w:sz w:val="20"/>
                <w:szCs w:val="20"/>
              </w:rPr>
              <w:t>货物名称</w:t>
            </w:r>
          </w:p>
        </w:tc>
        <w:tc>
          <w:tcPr>
            <w:tcW w:w="462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sz w:val="20"/>
                <w:szCs w:val="20"/>
              </w:rPr>
            </w:pPr>
            <w:r>
              <w:rPr>
                <w:rFonts w:hint="eastAsia" w:ascii="宋体" w:hAnsi="宋体"/>
                <w:b/>
                <w:bCs/>
                <w:kern w:val="0"/>
                <w:sz w:val="20"/>
                <w:szCs w:val="20"/>
              </w:rPr>
              <w:t>技术参数要求</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b/>
                <w:bCs/>
                <w:kern w:val="0"/>
                <w:sz w:val="20"/>
                <w:szCs w:val="20"/>
              </w:rPr>
            </w:pPr>
            <w:r>
              <w:rPr>
                <w:rFonts w:hint="eastAsia" w:ascii="宋体" w:hAnsi="宋体"/>
                <w:b/>
                <w:bCs/>
                <w:kern w:val="0"/>
                <w:sz w:val="20"/>
                <w:szCs w:val="20"/>
              </w:rPr>
              <w:t>单位</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b/>
                <w:bCs/>
                <w:kern w:val="0"/>
                <w:sz w:val="20"/>
                <w:szCs w:val="20"/>
              </w:rPr>
            </w:pPr>
            <w:r>
              <w:rPr>
                <w:rFonts w:hint="eastAsia" w:ascii="宋体" w:hAnsi="宋体"/>
                <w:b/>
                <w:bCs/>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w:t>
            </w:r>
          </w:p>
        </w:tc>
        <w:tc>
          <w:tcPr>
            <w:tcW w:w="2417" w:type="dxa"/>
            <w:tcBorders>
              <w:top w:val="single" w:color="auto" w:sz="4" w:space="0"/>
              <w:left w:val="nil"/>
              <w:bottom w:val="single" w:color="auto" w:sz="4" w:space="0"/>
              <w:right w:val="single" w:color="auto" w:sz="4" w:space="0"/>
            </w:tcBorders>
            <w:vAlign w:val="center"/>
          </w:tcPr>
          <w:p>
            <w:pPr>
              <w:adjustRightInd w:val="0"/>
              <w:snapToGrid w:val="0"/>
              <w:ind w:right="34"/>
              <w:jc w:val="left"/>
              <w:rPr>
                <w:rFonts w:ascii="宋体" w:hAnsi="宋体"/>
                <w:color w:val="auto"/>
                <w:kern w:val="0"/>
                <w:sz w:val="20"/>
                <w:szCs w:val="20"/>
              </w:rPr>
            </w:pPr>
            <w:r>
              <w:rPr>
                <w:rFonts w:hint="eastAsia" w:ascii="宋体" w:hAnsi="宋体"/>
                <w:color w:val="auto"/>
                <w:kern w:val="0"/>
                <w:sz w:val="20"/>
                <w:szCs w:val="20"/>
              </w:rPr>
              <w:t>废水集水井</w:t>
            </w:r>
          </w:p>
        </w:tc>
        <w:tc>
          <w:tcPr>
            <w:tcW w:w="4627" w:type="dxa"/>
            <w:tcBorders>
              <w:top w:val="single" w:color="auto" w:sz="4" w:space="0"/>
              <w:left w:val="nil"/>
              <w:bottom w:val="single" w:color="auto" w:sz="4" w:space="0"/>
              <w:right w:val="single" w:color="auto" w:sz="4" w:space="0"/>
            </w:tcBorders>
            <w:vAlign w:val="center"/>
          </w:tcPr>
          <w:p>
            <w:pPr>
              <w:ind w:right="560"/>
              <w:jc w:val="left"/>
              <w:rPr>
                <w:rFonts w:hint="eastAsia" w:ascii="宋体" w:hAnsi="宋体" w:eastAsia="宋体"/>
                <w:color w:val="auto"/>
                <w:kern w:val="0"/>
                <w:sz w:val="20"/>
                <w:szCs w:val="20"/>
                <w:lang w:eastAsia="zh-CN"/>
              </w:rPr>
            </w:pPr>
            <w:r>
              <w:rPr>
                <w:rFonts w:hint="eastAsia" w:ascii="宋体" w:hAnsi="宋体"/>
                <w:color w:val="auto"/>
                <w:kern w:val="0"/>
                <w:sz w:val="20"/>
                <w:szCs w:val="20"/>
              </w:rPr>
              <w:t>防腐材质</w:t>
            </w:r>
            <w:r>
              <w:rPr>
                <w:rFonts w:hint="eastAsia" w:ascii="宋体" w:hAnsi="宋体"/>
                <w:color w:val="auto"/>
                <w:kern w:val="0"/>
                <w:sz w:val="20"/>
                <w:szCs w:val="20"/>
                <w:lang w:eastAsia="zh-CN"/>
              </w:rPr>
              <w:t>，</w:t>
            </w:r>
            <w:r>
              <w:rPr>
                <w:rFonts w:hint="eastAsia" w:ascii="宋体" w:hAnsi="宋体"/>
                <w:color w:val="auto"/>
                <w:kern w:val="0"/>
                <w:sz w:val="20"/>
                <w:szCs w:val="20"/>
              </w:rPr>
              <w:t>7m*4m*3m(L*B*H)</w:t>
            </w:r>
            <w:r>
              <w:rPr>
                <w:rFonts w:hint="eastAsia" w:ascii="宋体" w:hAnsi="宋体"/>
                <w:color w:val="auto"/>
                <w:kern w:val="0"/>
                <w:sz w:val="20"/>
                <w:szCs w:val="20"/>
                <w:lang w:eastAsia="zh-CN"/>
              </w:rPr>
              <w:t>，</w:t>
            </w:r>
            <w:r>
              <w:rPr>
                <w:rFonts w:hint="eastAsia" w:ascii="宋体" w:hAnsi="宋体"/>
                <w:color w:val="auto"/>
                <w:kern w:val="0"/>
                <w:sz w:val="20"/>
                <w:szCs w:val="20"/>
              </w:rPr>
              <w:t>地下</w:t>
            </w:r>
            <w:r>
              <w:rPr>
                <w:rFonts w:hint="eastAsia" w:ascii="宋体" w:hAnsi="宋体"/>
                <w:color w:val="auto"/>
                <w:kern w:val="0"/>
                <w:sz w:val="20"/>
                <w:szCs w:val="20"/>
                <w:lang w:eastAsia="zh-CN"/>
              </w:rPr>
              <w:t>，池内玻璃钢防腐3布5油。</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座</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w:t>
            </w:r>
          </w:p>
        </w:tc>
        <w:tc>
          <w:tcPr>
            <w:tcW w:w="2417" w:type="dxa"/>
            <w:tcBorders>
              <w:top w:val="single" w:color="auto" w:sz="4" w:space="0"/>
              <w:left w:val="nil"/>
              <w:bottom w:val="single" w:color="auto" w:sz="4" w:space="0"/>
              <w:right w:val="single" w:color="auto" w:sz="4" w:space="0"/>
            </w:tcBorders>
            <w:vAlign w:val="center"/>
          </w:tcPr>
          <w:p>
            <w:pPr>
              <w:adjustRightInd w:val="0"/>
              <w:snapToGrid w:val="0"/>
              <w:ind w:right="34"/>
              <w:jc w:val="left"/>
              <w:rPr>
                <w:rFonts w:ascii="宋体" w:hAnsi="宋体"/>
                <w:color w:val="auto"/>
                <w:kern w:val="0"/>
                <w:sz w:val="20"/>
                <w:szCs w:val="20"/>
              </w:rPr>
            </w:pPr>
            <w:r>
              <w:rPr>
                <w:rFonts w:hint="eastAsia" w:ascii="宋体" w:hAnsi="宋体"/>
                <w:color w:val="auto"/>
                <w:kern w:val="0"/>
                <w:sz w:val="20"/>
                <w:szCs w:val="20"/>
              </w:rPr>
              <w:t>废水集水井格网</w:t>
            </w:r>
          </w:p>
        </w:tc>
        <w:tc>
          <w:tcPr>
            <w:tcW w:w="4627" w:type="dxa"/>
            <w:tcBorders>
              <w:top w:val="single" w:color="auto" w:sz="4" w:space="0"/>
              <w:left w:val="nil"/>
              <w:bottom w:val="single" w:color="auto" w:sz="4" w:space="0"/>
              <w:right w:val="single" w:color="auto" w:sz="4" w:space="0"/>
            </w:tcBorders>
            <w:vAlign w:val="center"/>
          </w:tcPr>
          <w:p>
            <w:pPr>
              <w:ind w:right="560"/>
              <w:jc w:val="left"/>
              <w:rPr>
                <w:rFonts w:hint="eastAsia" w:ascii="宋体" w:hAnsi="宋体" w:eastAsia="宋体"/>
                <w:color w:val="auto"/>
                <w:kern w:val="0"/>
                <w:sz w:val="20"/>
                <w:szCs w:val="20"/>
                <w:lang w:eastAsia="zh-CN"/>
              </w:rPr>
            </w:pPr>
            <w:r>
              <w:rPr>
                <w:rFonts w:hint="eastAsia" w:ascii="宋体" w:hAnsi="宋体"/>
                <w:color w:val="auto"/>
                <w:kern w:val="0"/>
                <w:sz w:val="20"/>
                <w:szCs w:val="20"/>
              </w:rPr>
              <w:t>20目/PP材质</w:t>
            </w:r>
            <w:r>
              <w:rPr>
                <w:rFonts w:hint="eastAsia" w:ascii="宋体" w:hAnsi="宋体"/>
                <w:color w:val="auto"/>
                <w:kern w:val="0"/>
                <w:sz w:val="20"/>
                <w:szCs w:val="20"/>
                <w:lang w:eastAsia="zh-CN"/>
              </w:rPr>
              <w:t>，</w:t>
            </w:r>
            <w:r>
              <w:rPr>
                <w:rFonts w:hint="eastAsia" w:ascii="宋体" w:hAnsi="宋体"/>
                <w:color w:val="auto"/>
                <w:kern w:val="0"/>
                <w:sz w:val="20"/>
                <w:szCs w:val="20"/>
              </w:rPr>
              <w:t>地下</w:t>
            </w:r>
            <w:r>
              <w:rPr>
                <w:rFonts w:hint="eastAsia" w:ascii="宋体" w:hAnsi="宋体"/>
                <w:color w:val="auto"/>
                <w:kern w:val="0"/>
                <w:sz w:val="20"/>
                <w:szCs w:val="20"/>
                <w:lang w:eastAsia="zh-CN"/>
              </w:rPr>
              <w:t>，采用耐酸碱耐腐蚀PP材质（标配）适合实验室各种环境，用于保证系统水质、水量的稳定。</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17" w:type="dxa"/>
            <w:tcBorders>
              <w:top w:val="single" w:color="auto" w:sz="4" w:space="0"/>
              <w:left w:val="nil"/>
              <w:bottom w:val="single" w:color="auto" w:sz="4" w:space="0"/>
              <w:right w:val="single" w:color="auto" w:sz="4" w:space="0"/>
            </w:tcBorders>
            <w:vAlign w:val="center"/>
          </w:tcPr>
          <w:p>
            <w:pPr>
              <w:adjustRightInd w:val="0"/>
              <w:snapToGrid w:val="0"/>
              <w:ind w:right="34"/>
              <w:jc w:val="left"/>
              <w:rPr>
                <w:rFonts w:ascii="宋体" w:hAnsi="宋体"/>
                <w:kern w:val="0"/>
                <w:sz w:val="20"/>
                <w:szCs w:val="20"/>
              </w:rPr>
            </w:pPr>
            <w:r>
              <w:rPr>
                <w:rFonts w:hint="eastAsia" w:ascii="宋体" w:hAnsi="宋体"/>
                <w:kern w:val="0"/>
                <w:sz w:val="20"/>
                <w:szCs w:val="20"/>
              </w:rPr>
              <w:t>废水集水井液位控制仪</w:t>
            </w:r>
          </w:p>
        </w:tc>
        <w:tc>
          <w:tcPr>
            <w:tcW w:w="4627" w:type="dxa"/>
            <w:tcBorders>
              <w:top w:val="single" w:color="auto" w:sz="4" w:space="0"/>
              <w:left w:val="nil"/>
              <w:bottom w:val="single" w:color="auto" w:sz="4" w:space="0"/>
              <w:right w:val="single" w:color="auto" w:sz="4" w:space="0"/>
            </w:tcBorders>
            <w:vAlign w:val="center"/>
          </w:tcPr>
          <w:p>
            <w:pPr>
              <w:ind w:right="560"/>
              <w:jc w:val="left"/>
              <w:rPr>
                <w:rFonts w:ascii="宋体" w:hAnsi="宋体"/>
                <w:kern w:val="0"/>
                <w:sz w:val="20"/>
                <w:szCs w:val="20"/>
              </w:rPr>
            </w:pPr>
            <w:r>
              <w:rPr>
                <w:rFonts w:hint="eastAsia" w:ascii="宋体" w:hAnsi="宋体"/>
                <w:kern w:val="0"/>
                <w:sz w:val="20"/>
                <w:szCs w:val="20"/>
              </w:rPr>
              <w:t>0-3m/耐腐蚀</w:t>
            </w:r>
            <w:r>
              <w:rPr>
                <w:rFonts w:hint="eastAsia" w:ascii="宋体" w:hAnsi="宋体"/>
                <w:kern w:val="0"/>
                <w:sz w:val="20"/>
                <w:szCs w:val="20"/>
                <w:lang w:eastAsia="zh-CN"/>
              </w:rPr>
              <w:t>，</w:t>
            </w:r>
            <w:r>
              <w:rPr>
                <w:rFonts w:hint="eastAsia" w:ascii="宋体" w:hAnsi="宋体"/>
                <w:kern w:val="0"/>
                <w:sz w:val="20"/>
                <w:szCs w:val="20"/>
              </w:rPr>
              <w:t>地下</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废水提升泵</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Q=1.5m3/h,H=10m,P=0.25Kw，316不锈钢</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17" w:type="dxa"/>
            <w:tcBorders>
              <w:top w:val="single" w:color="auto" w:sz="4" w:space="0"/>
              <w:left w:val="nil"/>
              <w:bottom w:val="single" w:color="auto" w:sz="4" w:space="0"/>
              <w:right w:val="single" w:color="auto" w:sz="4" w:space="0"/>
            </w:tcBorders>
            <w:vAlign w:val="center"/>
          </w:tcPr>
          <w:p>
            <w:pPr>
              <w:adjustRightInd w:val="0"/>
              <w:snapToGrid w:val="0"/>
              <w:ind w:right="-108"/>
              <w:jc w:val="left"/>
              <w:rPr>
                <w:rFonts w:ascii="宋体" w:hAnsi="宋体"/>
                <w:kern w:val="0"/>
                <w:sz w:val="20"/>
                <w:szCs w:val="20"/>
              </w:rPr>
            </w:pPr>
            <w:r>
              <w:rPr>
                <w:rFonts w:hint="eastAsia" w:ascii="宋体" w:hAnsi="宋体"/>
                <w:kern w:val="0"/>
                <w:sz w:val="20"/>
                <w:szCs w:val="20"/>
              </w:rPr>
              <w:t>集水坑提升泵</w:t>
            </w:r>
          </w:p>
        </w:tc>
        <w:tc>
          <w:tcPr>
            <w:tcW w:w="4627" w:type="dxa"/>
            <w:tcBorders>
              <w:top w:val="single" w:color="auto" w:sz="4" w:space="0"/>
              <w:left w:val="nil"/>
              <w:bottom w:val="single" w:color="auto" w:sz="4" w:space="0"/>
              <w:right w:val="single" w:color="auto" w:sz="4" w:space="0"/>
            </w:tcBorders>
            <w:vAlign w:val="center"/>
          </w:tcPr>
          <w:p>
            <w:pPr>
              <w:adjustRightInd w:val="0"/>
              <w:snapToGrid w:val="0"/>
              <w:ind w:left="-107" w:leftChars="-51"/>
              <w:jc w:val="left"/>
              <w:rPr>
                <w:rFonts w:ascii="宋体" w:hAnsi="宋体"/>
                <w:kern w:val="0"/>
                <w:sz w:val="20"/>
                <w:szCs w:val="20"/>
              </w:rPr>
            </w:pPr>
            <w:r>
              <w:rPr>
                <w:rFonts w:hint="eastAsia" w:ascii="宋体" w:hAnsi="宋体"/>
                <w:kern w:val="0"/>
                <w:sz w:val="20"/>
                <w:szCs w:val="20"/>
              </w:rPr>
              <w:t>Q=2m</w:t>
            </w:r>
            <w:r>
              <w:rPr>
                <w:rFonts w:hint="eastAsia" w:ascii="宋体" w:hAnsi="宋体"/>
                <w:kern w:val="0"/>
                <w:sz w:val="20"/>
                <w:szCs w:val="20"/>
                <w:vertAlign w:val="superscript"/>
              </w:rPr>
              <w:t>3</w:t>
            </w:r>
            <w:r>
              <w:rPr>
                <w:rFonts w:hint="eastAsia" w:ascii="宋体" w:hAnsi="宋体"/>
                <w:kern w:val="0"/>
                <w:sz w:val="20"/>
                <w:szCs w:val="20"/>
              </w:rPr>
              <w:t>/h,H=10m N=0.37kw/耐腐蚀</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kern w:val="0"/>
                <w:sz w:val="20"/>
                <w:szCs w:val="20"/>
              </w:rPr>
            </w:pPr>
            <w:r>
              <w:rPr>
                <w:rFonts w:hint="eastAsia"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加药罐</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500L/UPVC材质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加药罐液位计</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0-2米，4</w:t>
            </w:r>
            <w:r>
              <w:rPr>
                <w:rFonts w:hint="eastAsia" w:ascii="宋体" w:hAnsi="宋体"/>
                <w:color w:val="000000"/>
                <w:kern w:val="0"/>
                <w:sz w:val="20"/>
                <w:szCs w:val="20"/>
                <w:lang w:eastAsia="zh-CN"/>
              </w:rPr>
              <w:t>—</w:t>
            </w:r>
            <w:r>
              <w:rPr>
                <w:rFonts w:hint="eastAsia" w:ascii="宋体" w:hAnsi="宋体"/>
                <w:color w:val="000000"/>
                <w:kern w:val="0"/>
                <w:sz w:val="20"/>
                <w:szCs w:val="20"/>
              </w:rPr>
              <w:t>20mA输出，防腐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加药罐搅拌机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60r/min，0.55KW，钢衬塑防腐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加药泵</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出力10</w:t>
            </w:r>
            <w:r>
              <w:rPr>
                <w:rFonts w:hint="eastAsia" w:ascii="宋体" w:hAnsi="宋体"/>
                <w:color w:val="000000"/>
                <w:kern w:val="0"/>
                <w:sz w:val="20"/>
                <w:szCs w:val="20"/>
                <w:lang w:eastAsia="zh-CN"/>
              </w:rPr>
              <w:t>—</w:t>
            </w:r>
            <w:r>
              <w:rPr>
                <w:rFonts w:hint="eastAsia" w:ascii="宋体" w:hAnsi="宋体"/>
                <w:color w:val="000000"/>
                <w:kern w:val="0"/>
                <w:sz w:val="20"/>
                <w:szCs w:val="20"/>
              </w:rPr>
              <w:t>50L/h，耐酸碱</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电磁阀</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DN15</w:t>
            </w:r>
            <w:r>
              <w:rPr>
                <w:rFonts w:hint="eastAsia" w:ascii="宋体" w:hAnsi="宋体"/>
                <w:color w:val="000000"/>
                <w:kern w:val="0"/>
                <w:sz w:val="20"/>
                <w:szCs w:val="20"/>
                <w:lang w:eastAsia="zh-CN"/>
              </w:rPr>
              <w:t>，</w:t>
            </w:r>
            <w:r>
              <w:rPr>
                <w:rFonts w:hint="eastAsia" w:ascii="宋体" w:hAnsi="宋体"/>
                <w:color w:val="000000"/>
                <w:kern w:val="0"/>
                <w:sz w:val="20"/>
                <w:szCs w:val="20"/>
              </w:rPr>
              <w:t>常闭</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11</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电磁流量计</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DN15,0-5m3/h，4</w:t>
            </w:r>
            <w:r>
              <w:rPr>
                <w:rFonts w:hint="eastAsia" w:ascii="宋体" w:hAnsi="宋体"/>
                <w:color w:val="000000"/>
                <w:kern w:val="0"/>
                <w:sz w:val="20"/>
                <w:szCs w:val="20"/>
                <w:lang w:eastAsia="zh-CN"/>
              </w:rPr>
              <w:t>—</w:t>
            </w:r>
            <w:r>
              <w:rPr>
                <w:rFonts w:hint="eastAsia" w:ascii="宋体" w:hAnsi="宋体"/>
                <w:color w:val="000000"/>
                <w:kern w:val="0"/>
                <w:sz w:val="20"/>
                <w:szCs w:val="20"/>
              </w:rPr>
              <w:t>20mA输出，F4防腐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12</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转子流量计</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LZS-15</w:t>
            </w:r>
            <w:r>
              <w:rPr>
                <w:rFonts w:hint="eastAsia" w:ascii="宋体" w:hAnsi="宋体"/>
                <w:color w:val="000000"/>
                <w:kern w:val="0"/>
                <w:sz w:val="20"/>
                <w:szCs w:val="20"/>
                <w:lang w:eastAsia="zh-CN"/>
              </w:rPr>
              <w:t>（</w:t>
            </w:r>
            <w:r>
              <w:rPr>
                <w:rFonts w:hint="eastAsia" w:ascii="宋体" w:hAnsi="宋体"/>
                <w:color w:val="000000"/>
                <w:kern w:val="0"/>
                <w:sz w:val="20"/>
                <w:szCs w:val="20"/>
              </w:rPr>
              <w:t>水</w:t>
            </w:r>
            <w:r>
              <w:rPr>
                <w:rFonts w:hint="eastAsia" w:ascii="宋体" w:hAnsi="宋体"/>
                <w:color w:val="000000"/>
                <w:kern w:val="0"/>
                <w:sz w:val="20"/>
                <w:szCs w:val="20"/>
                <w:lang w:eastAsia="zh-CN"/>
              </w:rPr>
              <w:t>）</w:t>
            </w:r>
            <w:r>
              <w:rPr>
                <w:rFonts w:hint="eastAsia" w:ascii="宋体" w:hAnsi="宋体"/>
                <w:color w:val="000000"/>
                <w:kern w:val="0"/>
                <w:sz w:val="20"/>
                <w:szCs w:val="20"/>
              </w:rPr>
              <w:t>，0.25-2.5m3/h</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支</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13</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pH调整槽</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500mm*500mm*2000mm/UPVC材质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14</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电化学</w:t>
            </w:r>
            <w:r>
              <w:rPr>
                <w:rFonts w:hint="eastAsia" w:ascii="宋体" w:hAnsi="宋体"/>
                <w:color w:val="000000"/>
                <w:kern w:val="0"/>
                <w:sz w:val="20"/>
                <w:szCs w:val="20"/>
                <w:lang w:eastAsia="zh-CN"/>
              </w:rPr>
              <w:t>（</w:t>
            </w:r>
            <w:r>
              <w:rPr>
                <w:rFonts w:hint="eastAsia" w:ascii="宋体" w:hAnsi="宋体"/>
                <w:color w:val="000000"/>
                <w:kern w:val="0"/>
                <w:sz w:val="20"/>
                <w:szCs w:val="20"/>
              </w:rPr>
              <w:t>微电解</w:t>
            </w:r>
            <w:r>
              <w:rPr>
                <w:rFonts w:hint="eastAsia" w:ascii="宋体" w:hAnsi="宋体"/>
                <w:color w:val="000000"/>
                <w:kern w:val="0"/>
                <w:sz w:val="20"/>
                <w:szCs w:val="20"/>
                <w:lang w:eastAsia="zh-CN"/>
              </w:rPr>
              <w:t>）</w:t>
            </w:r>
            <w:r>
              <w:rPr>
                <w:rFonts w:hint="eastAsia" w:ascii="宋体" w:hAnsi="宋体"/>
                <w:color w:val="000000"/>
                <w:kern w:val="0"/>
                <w:sz w:val="20"/>
                <w:szCs w:val="20"/>
              </w:rPr>
              <w:t>反应器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800mm*800mm*2000mm/UPVC材质</w:t>
            </w:r>
            <w:r>
              <w:rPr>
                <w:rFonts w:hint="eastAsia" w:ascii="宋体" w:hAnsi="宋体"/>
                <w:color w:val="000000"/>
                <w:kern w:val="0"/>
                <w:sz w:val="20"/>
                <w:szCs w:val="20"/>
                <w:lang w:eastAsia="zh-CN"/>
              </w:rPr>
              <w:t>，</w:t>
            </w:r>
            <w:r>
              <w:rPr>
                <w:rFonts w:hint="eastAsia" w:ascii="宋体" w:hAnsi="宋体"/>
                <w:color w:val="000000"/>
                <w:kern w:val="0"/>
                <w:sz w:val="20"/>
                <w:szCs w:val="20"/>
              </w:rPr>
              <w:t>含填料</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15</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重金属捕捉器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800mm*800mm*2000mm/UPVC材质</w:t>
            </w:r>
            <w:r>
              <w:rPr>
                <w:rFonts w:hint="eastAsia" w:ascii="宋体" w:hAnsi="宋体"/>
                <w:color w:val="000000"/>
                <w:kern w:val="0"/>
                <w:sz w:val="20"/>
                <w:szCs w:val="20"/>
                <w:lang w:eastAsia="zh-CN"/>
              </w:rPr>
              <w:t>，</w:t>
            </w:r>
            <w:r>
              <w:rPr>
                <w:rFonts w:hint="eastAsia" w:ascii="宋体" w:hAnsi="宋体"/>
                <w:color w:val="000000"/>
                <w:kern w:val="0"/>
                <w:sz w:val="20"/>
                <w:szCs w:val="20"/>
              </w:rPr>
              <w:t>含滤料</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16</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絮凝反应沉淀器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1350mm*850mm*2000mm/UPVC材质</w:t>
            </w:r>
            <w:r>
              <w:rPr>
                <w:rFonts w:hint="eastAsia" w:ascii="宋体" w:hAnsi="宋体"/>
                <w:color w:val="000000"/>
                <w:kern w:val="0"/>
                <w:sz w:val="20"/>
                <w:szCs w:val="20"/>
                <w:lang w:eastAsia="zh-CN"/>
              </w:rPr>
              <w:t>，</w:t>
            </w:r>
            <w:r>
              <w:rPr>
                <w:rFonts w:hint="eastAsia" w:ascii="宋体" w:hAnsi="宋体"/>
                <w:color w:val="000000"/>
                <w:kern w:val="0"/>
                <w:sz w:val="20"/>
                <w:szCs w:val="20"/>
              </w:rPr>
              <w:t>含絮凝反应器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17</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中间水槽</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600mm×600mm×2000mm/UPVC材质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18</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中间水槽液位计</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0-2米，一体式超声波</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19</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过程提升泵</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CQZ25-20-125</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20</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催化氧化反应器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Ø850×2500，不锈钢，含催化剂填料</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21</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臭氧发生器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CF-1.0</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22</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臭氧尾气损毁器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OCR-350</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23</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缺氧反应器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1200mm×1200mm×2000mm/UPVC材质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24</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好氧反应器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2000mm×1500mm×2000mm/UPVC材质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25</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缺氧反应器搅拌装置</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20-30r/min，0.55KW，钢衬塑防腐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26</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充氧机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280</w:t>
            </w:r>
            <w:r>
              <w:rPr>
                <w:rFonts w:hint="eastAsia" w:ascii="宋体" w:hAnsi="宋体"/>
                <w:color w:val="000000"/>
                <w:kern w:val="0"/>
                <w:sz w:val="20"/>
                <w:szCs w:val="20"/>
                <w:lang w:eastAsia="zh-CN"/>
              </w:rPr>
              <w:t>—</w:t>
            </w:r>
            <w:r>
              <w:rPr>
                <w:rFonts w:hint="eastAsia" w:ascii="宋体" w:hAnsi="宋体"/>
                <w:color w:val="000000"/>
                <w:kern w:val="0"/>
                <w:sz w:val="20"/>
                <w:szCs w:val="20"/>
              </w:rPr>
              <w:t>450L/min，低噪声</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27</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高效沉淀器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1300mm×1000mm×2000mm/UPVC材质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28</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终端过滤器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300*1450</w:t>
            </w:r>
            <w:r>
              <w:rPr>
                <w:rFonts w:hint="eastAsia" w:ascii="宋体" w:hAnsi="宋体"/>
                <w:color w:val="000000"/>
                <w:kern w:val="0"/>
                <w:sz w:val="20"/>
                <w:szCs w:val="20"/>
                <w:lang w:eastAsia="zh-CN"/>
              </w:rPr>
              <w:t>，</w:t>
            </w:r>
            <w:r>
              <w:rPr>
                <w:rFonts w:hint="eastAsia" w:ascii="宋体" w:hAnsi="宋体"/>
                <w:color w:val="000000"/>
                <w:kern w:val="0"/>
                <w:sz w:val="20"/>
                <w:szCs w:val="20"/>
              </w:rPr>
              <w:t>不锈钢材质</w:t>
            </w:r>
            <w:r>
              <w:rPr>
                <w:rFonts w:hint="eastAsia" w:ascii="宋体" w:hAnsi="宋体"/>
                <w:color w:val="000000"/>
                <w:kern w:val="0"/>
                <w:sz w:val="20"/>
                <w:szCs w:val="20"/>
                <w:lang w:eastAsia="zh-CN"/>
              </w:rPr>
              <w:t>，</w:t>
            </w:r>
            <w:r>
              <w:rPr>
                <w:rFonts w:hint="eastAsia" w:ascii="宋体" w:hAnsi="宋体"/>
                <w:color w:val="000000"/>
                <w:kern w:val="0"/>
                <w:sz w:val="20"/>
                <w:szCs w:val="20"/>
              </w:rPr>
              <w:t>自动阀</w:t>
            </w:r>
            <w:r>
              <w:rPr>
                <w:rFonts w:hint="eastAsia" w:ascii="宋体" w:hAnsi="宋体"/>
                <w:color w:val="000000"/>
                <w:kern w:val="0"/>
                <w:sz w:val="20"/>
                <w:szCs w:val="20"/>
                <w:lang w:eastAsia="zh-CN"/>
              </w:rPr>
              <w:t>，</w:t>
            </w:r>
            <w:r>
              <w:rPr>
                <w:rFonts w:hint="eastAsia" w:ascii="宋体" w:hAnsi="宋体"/>
                <w:color w:val="000000"/>
                <w:kern w:val="0"/>
                <w:sz w:val="20"/>
                <w:szCs w:val="20"/>
              </w:rPr>
              <w:t>含滤料</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29</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集成式消毒装置</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108*900，120W紫外，不锈钢材质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30</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废水管道</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UPVC，DN25</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米</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31</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废水管道</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UPVC，DN50</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米</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32</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阀门及管配件</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UPVC</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批</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33</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pH在线控制仪</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0-14，防腐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34</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DO在线控制仪</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0-20mg/L，荧光法，防腐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35</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温度在线控制仪</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0-50摄氏度，防腐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36</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设备底座</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10#槽钢，C型钢、铝型材，含顶架</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37</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现场控制电箱</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500×300×250，含电气元件</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38</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污泥罐</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2m3</w:t>
            </w:r>
            <w:r>
              <w:rPr>
                <w:rFonts w:hint="eastAsia" w:ascii="宋体" w:hAnsi="宋体"/>
                <w:color w:val="000000"/>
                <w:kern w:val="0"/>
                <w:sz w:val="20"/>
                <w:szCs w:val="20"/>
                <w:lang w:eastAsia="zh-CN"/>
              </w:rPr>
              <w:t>，</w:t>
            </w:r>
            <w:r>
              <w:rPr>
                <w:rFonts w:hint="eastAsia" w:ascii="宋体" w:hAnsi="宋体"/>
                <w:color w:val="000000"/>
                <w:kern w:val="0"/>
                <w:sz w:val="20"/>
                <w:szCs w:val="20"/>
              </w:rPr>
              <w:t>防腐UPVC材质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39</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污泥泵</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Q=2m3/h,H=20m,P=0.75Kw,316不锈钢</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40</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污泥脱水机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LTS-3，立式，50-200l/h</w:t>
            </w:r>
            <w:r>
              <w:rPr>
                <w:rFonts w:hint="eastAsia" w:ascii="宋体" w:hAnsi="宋体"/>
                <w:color w:val="000000"/>
                <w:kern w:val="0"/>
                <w:sz w:val="20"/>
                <w:szCs w:val="20"/>
                <w:lang w:eastAsia="zh-CN"/>
              </w:rPr>
              <w:t>，</w:t>
            </w:r>
            <w:r>
              <w:rPr>
                <w:rFonts w:hint="eastAsia" w:ascii="宋体" w:hAnsi="宋体"/>
                <w:color w:val="000000"/>
                <w:kern w:val="0"/>
                <w:sz w:val="20"/>
                <w:szCs w:val="20"/>
              </w:rPr>
              <w:t>不锈钢材质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41</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过程废气净化设备</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1500m3/h</w:t>
            </w:r>
            <w:r>
              <w:rPr>
                <w:rFonts w:hint="eastAsia" w:ascii="宋体" w:hAnsi="宋体"/>
                <w:color w:val="000000"/>
                <w:kern w:val="0"/>
                <w:sz w:val="20"/>
                <w:szCs w:val="20"/>
                <w:lang w:eastAsia="zh-CN"/>
              </w:rPr>
              <w:t>，</w:t>
            </w:r>
            <w:r>
              <w:rPr>
                <w:rFonts w:hint="eastAsia" w:ascii="宋体" w:hAnsi="宋体"/>
                <w:color w:val="000000"/>
                <w:kern w:val="0"/>
                <w:sz w:val="20"/>
                <w:szCs w:val="20"/>
              </w:rPr>
              <w:t>吸收+吸附工艺</w:t>
            </w:r>
            <w:r>
              <w:rPr>
                <w:rFonts w:hint="eastAsia" w:ascii="宋体" w:hAnsi="宋体"/>
                <w:color w:val="000000"/>
                <w:kern w:val="0"/>
                <w:sz w:val="20"/>
                <w:szCs w:val="20"/>
                <w:lang w:eastAsia="zh-CN"/>
              </w:rPr>
              <w:t>，</w:t>
            </w:r>
            <w:r>
              <w:rPr>
                <w:rFonts w:hint="eastAsia" w:ascii="宋体" w:hAnsi="宋体"/>
                <w:color w:val="000000"/>
                <w:kern w:val="0"/>
                <w:sz w:val="20"/>
                <w:szCs w:val="20"/>
              </w:rPr>
              <w:t>SUS304材质</w:t>
            </w:r>
            <w:r>
              <w:rPr>
                <w:rFonts w:hint="eastAsia" w:ascii="宋体" w:hAnsi="宋体"/>
                <w:color w:val="000000"/>
                <w:kern w:val="0"/>
                <w:sz w:val="20"/>
                <w:szCs w:val="20"/>
                <w:lang w:eastAsia="zh-CN"/>
              </w:rPr>
              <w:t>，</w:t>
            </w:r>
            <w:r>
              <w:rPr>
                <w:rFonts w:hint="eastAsia" w:ascii="宋体" w:hAnsi="宋体"/>
                <w:color w:val="000000"/>
                <w:kern w:val="0"/>
                <w:sz w:val="20"/>
                <w:szCs w:val="20"/>
              </w:rPr>
              <w:t>配置VOC超标警示仪</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42</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玻璃钢风机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1500m3/h,1800Pa,5.5KW,0-50赫兹变频</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43</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消声器</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250，玻璃钢材质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44</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防火阀</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250，Q235A材质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45</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手动风阀</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150，PP材质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46</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手动风阀</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250，PP材质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47</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电动风阀</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250，PP材质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48</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排风管</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200*300/</w:t>
            </w:r>
            <w:r>
              <w:rPr>
                <w:rFonts w:hint="eastAsia" w:ascii="MS Gothic" w:hAnsi="MS Gothic" w:eastAsia="MS Gothic" w:cs="MS Gothic"/>
                <w:color w:val="000000"/>
                <w:kern w:val="0"/>
                <w:sz w:val="20"/>
                <w:szCs w:val="20"/>
              </w:rPr>
              <w:t>∅</w:t>
            </w:r>
            <w:r>
              <w:rPr>
                <w:rFonts w:hint="eastAsia" w:ascii="宋体" w:hAnsi="宋体"/>
                <w:color w:val="000000"/>
                <w:kern w:val="0"/>
                <w:sz w:val="20"/>
                <w:szCs w:val="20"/>
              </w:rPr>
              <w:t>250，阻燃PP材质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米</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49</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有害气体在线检测仪</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H2S，SO2等可燃气体及有毒有害气体</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50</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爬梯及走道</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钢制，1米宽度</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米</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51</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电动阀</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DN50，开关型，防腐</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只</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52</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PLC智能控制系统</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80ec，输入DCO48位，输出 32位，可编程控制</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53</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人机界面操作系统</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可实时监控运行情况及远程控制设备自动运行</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54</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电控柜</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900×450×2000</w:t>
            </w:r>
            <w:r>
              <w:rPr>
                <w:rFonts w:hint="eastAsia" w:ascii="宋体" w:hAnsi="宋体"/>
                <w:color w:val="000000"/>
                <w:kern w:val="0"/>
                <w:sz w:val="20"/>
                <w:szCs w:val="20"/>
                <w:lang w:eastAsia="zh-CN"/>
              </w:rPr>
              <w:t>，</w:t>
            </w:r>
            <w:r>
              <w:rPr>
                <w:rFonts w:hint="eastAsia" w:ascii="宋体" w:hAnsi="宋体"/>
                <w:color w:val="000000"/>
                <w:kern w:val="0"/>
                <w:sz w:val="20"/>
                <w:szCs w:val="20"/>
              </w:rPr>
              <w:t>钢制，包含</w:t>
            </w:r>
            <w:r>
              <w:rPr>
                <w:rFonts w:hint="eastAsia" w:ascii="宋体" w:hAnsi="宋体"/>
                <w:color w:val="000000"/>
                <w:kern w:val="0"/>
                <w:sz w:val="20"/>
                <w:szCs w:val="20"/>
                <w:lang w:eastAsia="zh-CN"/>
              </w:rPr>
              <w:t>电子元器件</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55</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以太网远程控制模块</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dr-eth远程显示，远程控制</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56</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动力电缆</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YJV3*16+2*10，设备间供配电</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米</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57</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控制电线电缆</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KVVP12*1/4*1.5/4*6</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米</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auto"/>
                <w:kern w:val="0"/>
                <w:sz w:val="20"/>
                <w:szCs w:val="20"/>
              </w:rPr>
            </w:pPr>
            <w:r>
              <w:rPr>
                <w:rFonts w:hint="eastAsia" w:ascii="宋体" w:hAnsi="宋体"/>
                <w:color w:val="auto"/>
                <w:kern w:val="0"/>
                <w:sz w:val="20"/>
                <w:szCs w:val="20"/>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58</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网络摄像球机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1080p分辨率，不小于200万像素</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59</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硬盘录像机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2T</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60</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空调</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2匹，冷暖，壁挂式，</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61</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除湿机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150L/D，自动排水</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62</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工控计算机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I5内存8G，120G固态硬盘</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63</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打印机</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A4，激光</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64</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控制台</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1200*800，钢木</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65</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资料柜</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900*400*1800，全钢结构</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66</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工具柜</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900*400*1800，全钢结构</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67</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环境温湿度计</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0-50摄氏度</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台</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68</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设备围挡</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中空钢化玻璃，铝型材结构</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平方</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69</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安全设施</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警示警告标识、护栏等</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套</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70</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运输费</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　/</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项</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71</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安装及机械费</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　/</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次</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72</w:t>
            </w:r>
          </w:p>
        </w:tc>
        <w:tc>
          <w:tcPr>
            <w:tcW w:w="241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调试、首次第三方检测</w:t>
            </w:r>
          </w:p>
        </w:tc>
        <w:tc>
          <w:tcPr>
            <w:tcW w:w="4627" w:type="dxa"/>
            <w:tcBorders>
              <w:top w:val="single" w:color="auto" w:sz="4" w:space="0"/>
              <w:left w:val="nil"/>
              <w:bottom w:val="single" w:color="auto" w:sz="4" w:space="0"/>
              <w:right w:val="single" w:color="auto" w:sz="4" w:space="0"/>
            </w:tcBorders>
            <w:vAlign w:val="center"/>
          </w:tcPr>
          <w:p>
            <w:pPr>
              <w:rPr>
                <w:rFonts w:ascii="宋体" w:hAnsi="宋体"/>
                <w:color w:val="000000"/>
                <w:kern w:val="0"/>
                <w:sz w:val="20"/>
                <w:szCs w:val="20"/>
              </w:rPr>
            </w:pPr>
            <w:r>
              <w:rPr>
                <w:rFonts w:hint="eastAsia" w:ascii="宋体" w:hAnsi="宋体"/>
                <w:color w:val="000000"/>
                <w:kern w:val="0"/>
                <w:sz w:val="20"/>
                <w:szCs w:val="20"/>
              </w:rPr>
              <w:t xml:space="preserve">  </w:t>
            </w:r>
            <w:r>
              <w:rPr>
                <w:rFonts w:ascii="宋体" w:hAnsi="宋体"/>
                <w:color w:val="000000"/>
                <w:kern w:val="0"/>
                <w:sz w:val="20"/>
                <w:szCs w:val="20"/>
              </w:rPr>
              <w:t>/</w:t>
            </w: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0"/>
                <w:szCs w:val="20"/>
              </w:rPr>
            </w:pPr>
            <w:r>
              <w:rPr>
                <w:rFonts w:hint="eastAsia" w:ascii="宋体" w:hAnsi="宋体"/>
                <w:color w:val="000000"/>
                <w:kern w:val="0"/>
                <w:sz w:val="20"/>
                <w:szCs w:val="20"/>
              </w:rPr>
              <w:t>项</w:t>
            </w:r>
          </w:p>
        </w:tc>
        <w:tc>
          <w:tcPr>
            <w:tcW w:w="670"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ascii="宋体" w:hAnsi="宋体"/>
                <w:color w:val="000000"/>
                <w:kern w:val="0"/>
                <w:sz w:val="20"/>
                <w:szCs w:val="20"/>
              </w:rPr>
            </w:pPr>
            <w:r>
              <w:rPr>
                <w:rFonts w:hint="eastAsia" w:ascii="宋体" w:hAnsi="宋体"/>
                <w:color w:val="000000"/>
                <w:kern w:val="0"/>
                <w:sz w:val="20"/>
                <w:szCs w:val="20"/>
              </w:rPr>
              <w:t>1</w:t>
            </w:r>
          </w:p>
        </w:tc>
      </w:tr>
    </w:tbl>
    <w:p>
      <w:pPr>
        <w:widowControl/>
        <w:spacing w:line="360" w:lineRule="exact"/>
        <w:jc w:val="left"/>
        <w:rPr>
          <w:rFonts w:ascii="宋体" w:hAnsi="宋体" w:cs="等线"/>
          <w:color w:val="000000"/>
          <w:kern w:val="0"/>
          <w:sz w:val="20"/>
          <w:szCs w:val="20"/>
        </w:rPr>
      </w:pPr>
      <w:r>
        <w:rPr>
          <w:rFonts w:hint="eastAsia" w:ascii="宋体" w:hAnsi="宋体"/>
          <w:color w:val="000000"/>
          <w:kern w:val="0"/>
          <w:sz w:val="20"/>
          <w:szCs w:val="20"/>
        </w:rPr>
        <w:t>注：表中所有设备、设施、材料等，均包含运输、安装等费用。</w:t>
      </w:r>
    </w:p>
    <w:p>
      <w:pPr>
        <w:snapToGrid w:val="0"/>
        <w:spacing w:line="360" w:lineRule="exact"/>
        <w:ind w:firstLine="211" w:firstLineChars="100"/>
        <w:rPr>
          <w:rFonts w:ascii="宋体" w:hAnsi="宋体" w:cs="Arial"/>
          <w:b/>
          <w:color w:val="000000"/>
          <w:szCs w:val="21"/>
        </w:rPr>
      </w:pPr>
      <w:r>
        <w:rPr>
          <w:rFonts w:hint="eastAsia" w:ascii="宋体" w:hAnsi="宋体" w:cs="Arial"/>
          <w:b/>
          <w:color w:val="000000"/>
        </w:rPr>
        <w:t>二、配置及技术要求说明：</w:t>
      </w:r>
    </w:p>
    <w:p>
      <w:pPr>
        <w:spacing w:line="360" w:lineRule="exact"/>
        <w:ind w:firstLine="420" w:firstLineChars="200"/>
        <w:rPr>
          <w:rFonts w:ascii="宋体" w:hAnsi="宋体" w:cs="等线"/>
          <w:bCs/>
          <w:color w:val="000000"/>
        </w:rPr>
      </w:pPr>
      <w:r>
        <w:rPr>
          <w:rFonts w:hint="eastAsia" w:ascii="宋体" w:hAnsi="宋体"/>
          <w:bCs/>
          <w:color w:val="000000"/>
        </w:rPr>
        <w:t>说明：本技术要求提出的是最低限度的技术条件。供应商应注意在技术要求中如果出现了参考品牌或规格型号，其</w:t>
      </w:r>
      <w:r>
        <w:rPr>
          <w:rFonts w:hint="eastAsia" w:ascii="宋体" w:hAnsi="宋体"/>
          <w:bCs/>
          <w:color w:val="000000"/>
          <w:lang w:eastAsia="zh-CN"/>
        </w:rPr>
        <w:t>目的是</w:t>
      </w:r>
      <w:r>
        <w:rPr>
          <w:rFonts w:hint="eastAsia" w:ascii="宋体" w:hAnsi="宋体"/>
          <w:bCs/>
          <w:color w:val="000000"/>
        </w:rPr>
        <w:t xml:space="preserve">方便供应商直观和准确地把握相应材料和设备的技术标准，不具指定或唯一的意思表示，供应商应当参考所列品牌的材料和设备，提供相当于或高于所列品牌技术标准的材料和设备。  </w:t>
      </w:r>
    </w:p>
    <w:p>
      <w:pPr>
        <w:spacing w:line="360" w:lineRule="exact"/>
        <w:ind w:firstLine="420" w:firstLineChars="200"/>
        <w:outlineLvl w:val="2"/>
        <w:rPr>
          <w:rFonts w:ascii="宋体" w:hAnsi="宋体"/>
          <w:color w:val="000000"/>
        </w:rPr>
      </w:pPr>
      <w:r>
        <w:rPr>
          <w:rFonts w:hint="eastAsia" w:ascii="宋体" w:hAnsi="宋体"/>
          <w:color w:val="000000"/>
        </w:rPr>
        <w:t>技术参数要求中凡标注“</w:t>
      </w:r>
      <w:r>
        <w:rPr>
          <w:rFonts w:hint="eastAsia" w:ascii="宋体" w:hAnsi="宋体"/>
          <w:color w:val="000000"/>
          <w:sz w:val="18"/>
          <w:szCs w:val="18"/>
        </w:rPr>
        <w:t>★</w:t>
      </w:r>
      <w:r>
        <w:rPr>
          <w:rFonts w:hint="eastAsia" w:ascii="宋体" w:hAnsi="宋体"/>
          <w:color w:val="000000"/>
        </w:rPr>
        <w:t>”号的条款或要求为关键指标的如有负偏离</w:t>
      </w:r>
      <w:r>
        <w:rPr>
          <w:rFonts w:hint="eastAsia" w:ascii="宋体" w:hAnsi="宋体"/>
          <w:color w:val="000000"/>
          <w:lang w:eastAsia="zh-CN"/>
        </w:rPr>
        <w:t>（</w:t>
      </w:r>
      <w:r>
        <w:rPr>
          <w:rFonts w:hint="eastAsia" w:ascii="宋体" w:hAnsi="宋体"/>
          <w:color w:val="000000"/>
        </w:rPr>
        <w:t>或未作响应</w:t>
      </w:r>
      <w:r>
        <w:rPr>
          <w:rFonts w:hint="eastAsia" w:ascii="宋体" w:hAnsi="宋体"/>
          <w:color w:val="000000"/>
          <w:lang w:eastAsia="zh-CN"/>
        </w:rPr>
        <w:t>）</w:t>
      </w:r>
      <w:r>
        <w:rPr>
          <w:rFonts w:hint="eastAsia" w:ascii="宋体" w:hAnsi="宋体"/>
          <w:color w:val="000000"/>
        </w:rPr>
        <w:t>的投标无效。标注“</w:t>
      </w:r>
      <w:r>
        <w:rPr>
          <w:rFonts w:hint="eastAsia" w:ascii="宋体" w:hAnsi="宋体"/>
          <w:color w:val="000000"/>
          <w:sz w:val="18"/>
          <w:szCs w:val="18"/>
        </w:rPr>
        <w:t>▲</w:t>
      </w:r>
      <w:r>
        <w:rPr>
          <w:rFonts w:hint="eastAsia" w:ascii="宋体" w:hAnsi="宋体"/>
          <w:color w:val="000000"/>
        </w:rPr>
        <w:t>”号的条款为重要指标</w:t>
      </w:r>
      <w:r>
        <w:rPr>
          <w:rFonts w:hint="eastAsia" w:ascii="宋体" w:hAnsi="宋体"/>
          <w:color w:val="000000"/>
          <w:lang w:eastAsia="zh-CN"/>
        </w:rPr>
        <w:t>，</w:t>
      </w:r>
      <w:r>
        <w:rPr>
          <w:rFonts w:hint="eastAsia" w:ascii="宋体" w:hAnsi="宋体"/>
          <w:color w:val="000000"/>
        </w:rPr>
        <w:t>有负偏离（或未作响应）达5项（含）以上的投标无效；未标注“</w:t>
      </w:r>
      <w:r>
        <w:rPr>
          <w:rFonts w:hint="eastAsia" w:ascii="宋体" w:hAnsi="宋体"/>
          <w:color w:val="000000"/>
          <w:sz w:val="18"/>
          <w:szCs w:val="18"/>
        </w:rPr>
        <w:t>★</w:t>
      </w:r>
      <w:r>
        <w:rPr>
          <w:rFonts w:hint="eastAsia" w:ascii="宋体" w:hAnsi="宋体"/>
          <w:color w:val="000000"/>
        </w:rPr>
        <w:t>”号和“▲”号的技术参数有负偏离（或未作响应）达8项（含）以上的投标无效。技术参数中需要提供的检测报告必须是国家或国际认可的合法检测机构出具</w:t>
      </w:r>
      <w:r>
        <w:rPr>
          <w:rFonts w:hint="eastAsia" w:ascii="宋体" w:hAnsi="宋体"/>
          <w:color w:val="000000"/>
          <w:lang w:eastAsia="zh-CN"/>
        </w:rPr>
        <w:t>（</w:t>
      </w:r>
      <w:r>
        <w:rPr>
          <w:rFonts w:hint="eastAsia" w:ascii="宋体" w:hAnsi="宋体"/>
          <w:color w:val="000000"/>
        </w:rPr>
        <w:t>CNAS或CMA或SGS等</w:t>
      </w:r>
      <w:r>
        <w:rPr>
          <w:rFonts w:hint="eastAsia" w:ascii="宋体" w:hAnsi="宋体"/>
          <w:color w:val="000000"/>
          <w:lang w:eastAsia="zh-CN"/>
        </w:rPr>
        <w:t>）</w:t>
      </w:r>
      <w:r>
        <w:rPr>
          <w:rFonts w:hint="eastAsia" w:ascii="宋体" w:hAnsi="宋体"/>
          <w:color w:val="000000"/>
        </w:rPr>
        <w:t>的正式文件</w:t>
      </w:r>
      <w:r>
        <w:rPr>
          <w:rFonts w:hint="eastAsia" w:ascii="宋体" w:hAnsi="宋体"/>
          <w:b/>
          <w:color w:val="000000"/>
        </w:rPr>
        <w:t>（投标时核对原件）</w:t>
      </w:r>
      <w:r>
        <w:rPr>
          <w:rFonts w:hint="eastAsia" w:ascii="宋体" w:hAnsi="宋体"/>
          <w:color w:val="000000"/>
        </w:rPr>
        <w:t>，采购人将根据招标文件技术要求在产品安装过程中委派设备监理工程师或采购人亲自到工地现场进行不定期抽检。</w:t>
      </w:r>
    </w:p>
    <w:p>
      <w:pPr>
        <w:spacing w:line="360" w:lineRule="exact"/>
        <w:rPr>
          <w:rFonts w:ascii="宋体" w:hAnsi="宋体"/>
          <w:szCs w:val="21"/>
        </w:rPr>
      </w:pPr>
      <w:r>
        <w:rPr>
          <w:rFonts w:hint="eastAsia" w:ascii="宋体" w:hAnsi="宋体"/>
          <w:b/>
        </w:rPr>
        <w:t>1.产品符合标准（以下标准规范如有更新替代，按最新的执行）</w:t>
      </w:r>
      <w:r>
        <w:rPr>
          <w:rFonts w:hint="eastAsia" w:ascii="宋体" w:hAnsi="宋体"/>
        </w:rPr>
        <w:t>：</w:t>
      </w:r>
    </w:p>
    <w:p>
      <w:pPr>
        <w:spacing w:line="340" w:lineRule="exact"/>
        <w:ind w:firstLine="420" w:firstLineChars="200"/>
        <w:rPr>
          <w:rFonts w:ascii="宋体" w:hAnsi="宋体"/>
          <w:color w:val="000000"/>
        </w:rPr>
      </w:pPr>
      <w:r>
        <w:rPr>
          <w:rFonts w:hint="eastAsia" w:ascii="宋体" w:hAnsi="宋体"/>
          <w:color w:val="000000"/>
        </w:rPr>
        <w:t>1.1.《建设项目环境保护条例》国务院[1998]253号令；</w:t>
      </w:r>
    </w:p>
    <w:p>
      <w:pPr>
        <w:spacing w:line="340" w:lineRule="exact"/>
        <w:ind w:firstLine="420" w:firstLineChars="200"/>
        <w:rPr>
          <w:rFonts w:ascii="宋体" w:hAnsi="宋体"/>
          <w:color w:val="000000"/>
        </w:rPr>
      </w:pPr>
      <w:r>
        <w:rPr>
          <w:rFonts w:hint="eastAsia" w:ascii="宋体" w:hAnsi="宋体"/>
          <w:color w:val="000000"/>
        </w:rPr>
        <w:t>1.2.《关于加强高等学校实验室排污管理的通知》国家环保总局、教育部，2005；</w:t>
      </w:r>
    </w:p>
    <w:p>
      <w:pPr>
        <w:spacing w:line="340" w:lineRule="exact"/>
        <w:ind w:firstLine="420" w:firstLineChars="200"/>
        <w:rPr>
          <w:rFonts w:ascii="宋体" w:hAnsi="宋体"/>
          <w:color w:val="000000"/>
        </w:rPr>
      </w:pPr>
      <w:r>
        <w:rPr>
          <w:rFonts w:hint="eastAsia" w:ascii="宋体" w:hAnsi="宋体"/>
          <w:color w:val="000000"/>
        </w:rPr>
        <w:t>1.3.《建设项目环境保护设计规定》国环字[87]03号文件附件；</w:t>
      </w:r>
    </w:p>
    <w:p>
      <w:pPr>
        <w:spacing w:line="340" w:lineRule="exact"/>
        <w:ind w:firstLine="420" w:firstLineChars="200"/>
        <w:rPr>
          <w:rFonts w:ascii="宋体" w:hAnsi="宋体"/>
          <w:color w:val="000000"/>
        </w:rPr>
      </w:pPr>
      <w:r>
        <w:rPr>
          <w:rFonts w:hint="eastAsia" w:ascii="宋体" w:hAnsi="宋体"/>
          <w:color w:val="000000"/>
        </w:rPr>
        <w:t>1.4.《污水综合排放标准》（GB8978-1996）；</w:t>
      </w:r>
    </w:p>
    <w:p>
      <w:pPr>
        <w:spacing w:line="340" w:lineRule="exact"/>
        <w:ind w:firstLine="420" w:firstLineChars="200"/>
        <w:rPr>
          <w:rFonts w:ascii="宋体" w:hAnsi="宋体"/>
          <w:color w:val="000000"/>
        </w:rPr>
      </w:pPr>
      <w:r>
        <w:rPr>
          <w:rFonts w:hint="eastAsia" w:ascii="宋体" w:hAnsi="宋体"/>
          <w:color w:val="000000"/>
        </w:rPr>
        <w:t>1.5.《污水排入城镇下水道水质标准》GBT31962-2015的A级标准；</w:t>
      </w:r>
    </w:p>
    <w:p>
      <w:pPr>
        <w:spacing w:line="340" w:lineRule="exact"/>
        <w:ind w:firstLine="420" w:firstLineChars="200"/>
        <w:rPr>
          <w:rFonts w:ascii="宋体" w:hAnsi="宋体"/>
          <w:color w:val="000000"/>
        </w:rPr>
      </w:pPr>
      <w:r>
        <w:rPr>
          <w:rFonts w:hint="eastAsia" w:ascii="宋体" w:hAnsi="宋体"/>
          <w:color w:val="000000"/>
        </w:rPr>
        <w:t>1.6.《室外排水工程设计规范》GB50014-2006（2014版）；</w:t>
      </w:r>
    </w:p>
    <w:p>
      <w:pPr>
        <w:spacing w:line="340" w:lineRule="exact"/>
        <w:ind w:firstLine="420" w:firstLineChars="200"/>
        <w:rPr>
          <w:rFonts w:ascii="宋体" w:hAnsi="宋体"/>
          <w:color w:val="000000"/>
        </w:rPr>
      </w:pPr>
      <w:r>
        <w:rPr>
          <w:rFonts w:hint="eastAsia" w:ascii="宋体" w:hAnsi="宋体"/>
          <w:color w:val="000000"/>
        </w:rPr>
        <w:t>1.7.《建筑设计防火规范》GB 50016-2014；</w:t>
      </w:r>
    </w:p>
    <w:p>
      <w:pPr>
        <w:spacing w:line="340" w:lineRule="exact"/>
        <w:ind w:firstLine="420" w:firstLineChars="200"/>
        <w:rPr>
          <w:rFonts w:ascii="宋体" w:hAnsi="宋体"/>
          <w:color w:val="000000"/>
        </w:rPr>
      </w:pPr>
      <w:r>
        <w:rPr>
          <w:rFonts w:hint="eastAsia" w:ascii="宋体" w:hAnsi="宋体"/>
          <w:color w:val="000000"/>
        </w:rPr>
        <w:t xml:space="preserve">1.8.《大气污染物综合排放标准》GB16297-1996； </w:t>
      </w:r>
    </w:p>
    <w:p>
      <w:pPr>
        <w:spacing w:line="340" w:lineRule="exact"/>
        <w:ind w:firstLine="420" w:firstLineChars="200"/>
        <w:rPr>
          <w:rFonts w:ascii="宋体" w:hAnsi="宋体"/>
          <w:color w:val="000000"/>
        </w:rPr>
      </w:pPr>
      <w:r>
        <w:rPr>
          <w:rFonts w:hint="eastAsia" w:ascii="宋体" w:hAnsi="宋体"/>
          <w:color w:val="000000"/>
        </w:rPr>
        <w:t xml:space="preserve">1.9.《供配电系统设计规范》GB50052-2009； </w:t>
      </w:r>
    </w:p>
    <w:p>
      <w:pPr>
        <w:spacing w:line="340" w:lineRule="exact"/>
        <w:ind w:firstLine="420" w:firstLineChars="200"/>
        <w:rPr>
          <w:rFonts w:ascii="宋体" w:hAnsi="宋体"/>
          <w:color w:val="000000"/>
        </w:rPr>
      </w:pPr>
      <w:r>
        <w:rPr>
          <w:rFonts w:hint="eastAsia" w:ascii="宋体" w:hAnsi="宋体"/>
          <w:color w:val="000000"/>
        </w:rPr>
        <w:t>1.10.《低压配电设计规范》GB50054-95；</w:t>
      </w:r>
    </w:p>
    <w:p>
      <w:pPr>
        <w:spacing w:line="340" w:lineRule="exact"/>
        <w:ind w:firstLine="420" w:firstLineChars="200"/>
        <w:rPr>
          <w:rFonts w:ascii="宋体" w:hAnsi="宋体"/>
          <w:color w:val="000000"/>
        </w:rPr>
      </w:pPr>
      <w:r>
        <w:rPr>
          <w:rFonts w:hint="eastAsia" w:ascii="宋体" w:hAnsi="宋体"/>
          <w:color w:val="000000"/>
        </w:rPr>
        <w:t>1.11.《建筑照明设计标准》GB50034-2004；</w:t>
      </w:r>
    </w:p>
    <w:p>
      <w:pPr>
        <w:spacing w:line="340" w:lineRule="exact"/>
        <w:ind w:firstLine="420" w:firstLineChars="200"/>
        <w:rPr>
          <w:rFonts w:ascii="宋体" w:hAnsi="宋体"/>
          <w:color w:val="000000"/>
        </w:rPr>
      </w:pPr>
      <w:r>
        <w:rPr>
          <w:rFonts w:hint="eastAsia" w:ascii="宋体" w:hAnsi="宋体"/>
          <w:color w:val="000000"/>
        </w:rPr>
        <w:t xml:space="preserve">1.12.《电力装置的继电保护和自动装置设计规范》GB50062-2008； </w:t>
      </w:r>
    </w:p>
    <w:p>
      <w:pPr>
        <w:spacing w:line="340" w:lineRule="exact"/>
        <w:ind w:firstLine="420" w:firstLineChars="200"/>
        <w:rPr>
          <w:rFonts w:ascii="宋体" w:hAnsi="宋体"/>
          <w:color w:val="000000"/>
        </w:rPr>
      </w:pPr>
      <w:r>
        <w:rPr>
          <w:rFonts w:hint="eastAsia" w:ascii="宋体" w:hAnsi="宋体"/>
          <w:color w:val="000000"/>
        </w:rPr>
        <w:t>1.13.《安全防范工程技术规范》GB50348-2004；</w:t>
      </w:r>
    </w:p>
    <w:p>
      <w:pPr>
        <w:spacing w:line="340" w:lineRule="exact"/>
        <w:ind w:firstLine="420" w:firstLineChars="200"/>
        <w:rPr>
          <w:rFonts w:ascii="宋体" w:hAnsi="宋体"/>
          <w:color w:val="000000"/>
        </w:rPr>
      </w:pPr>
      <w:r>
        <w:rPr>
          <w:rFonts w:hint="eastAsia" w:ascii="宋体" w:hAnsi="宋体"/>
          <w:color w:val="000000"/>
        </w:rPr>
        <w:t>1.14.《环境工程手册·废水卷》高等教育出版社。</w:t>
      </w:r>
    </w:p>
    <w:p>
      <w:pPr>
        <w:pStyle w:val="29"/>
      </w:pPr>
      <w:r>
        <w:rPr>
          <w:rFonts w:hint="eastAsia"/>
        </w:rPr>
        <w:t xml:space="preserve"> </w:t>
      </w:r>
    </w:p>
    <w:p>
      <w:pPr>
        <w:spacing w:line="380" w:lineRule="exact"/>
        <w:rPr>
          <w:rFonts w:ascii="宋体" w:hAnsi="宋体"/>
          <w:b/>
        </w:rPr>
      </w:pPr>
      <w:r>
        <w:rPr>
          <w:rFonts w:hint="eastAsia" w:ascii="宋体" w:hAnsi="宋体"/>
          <w:b/>
        </w:rPr>
        <w:t>2.设备处理废水范围：</w:t>
      </w:r>
    </w:p>
    <w:p>
      <w:pPr>
        <w:spacing w:line="360" w:lineRule="exact"/>
        <w:ind w:firstLine="420" w:firstLineChars="200"/>
        <w:rPr>
          <w:rFonts w:ascii="宋体" w:hAnsi="宋体"/>
        </w:rPr>
      </w:pPr>
      <w:r>
        <w:rPr>
          <w:rFonts w:hint="eastAsia" w:ascii="宋体" w:hAnsi="宋体"/>
        </w:rPr>
        <w:t>需处理的实验室废水来源包括但不限于如下来源：实验室药品残留、配置试剂、试液、残留试剂、仪器设备清洗及跑冒滴漏等过程中产生的综合废水。废水</w:t>
      </w:r>
      <w:r>
        <w:rPr>
          <w:rFonts w:hint="eastAsia" w:ascii="宋体" w:hAnsi="宋体"/>
          <w:lang w:eastAsia="zh-CN"/>
        </w:rPr>
        <w:t>成分</w:t>
      </w:r>
      <w:r>
        <w:rPr>
          <w:rFonts w:hint="eastAsia" w:ascii="宋体" w:hAnsi="宋体"/>
        </w:rPr>
        <w:t>包括但不限于如下分类：</w:t>
      </w:r>
    </w:p>
    <w:p>
      <w:pPr>
        <w:spacing w:line="360" w:lineRule="exact"/>
        <w:ind w:firstLine="420" w:firstLineChars="200"/>
        <w:rPr>
          <w:rFonts w:ascii="宋体" w:hAnsi="宋体"/>
        </w:rPr>
      </w:pPr>
      <w:r>
        <w:rPr>
          <w:rFonts w:hint="eastAsia" w:ascii="宋体" w:hAnsi="宋体"/>
        </w:rPr>
        <w:t>2.1.无机物类：重金属离子、酸碱、卤素离子及其他非金属离子等；</w:t>
      </w:r>
    </w:p>
    <w:p>
      <w:pPr>
        <w:spacing w:line="360" w:lineRule="exact"/>
        <w:ind w:firstLine="420" w:firstLineChars="200"/>
        <w:rPr>
          <w:rFonts w:ascii="宋体" w:hAnsi="宋体"/>
        </w:rPr>
      </w:pPr>
      <w:r>
        <w:rPr>
          <w:rFonts w:hint="eastAsia" w:ascii="宋体" w:hAnsi="宋体"/>
        </w:rPr>
        <w:t>2.2.有机物类：洗涤剂、表面活性剂、苯、甲苯、二甲苯、苯胺、苯酚、酚类、醛类、</w:t>
      </w:r>
      <w:r>
        <w:rPr>
          <w:rFonts w:hint="eastAsia" w:ascii="宋体" w:hAnsi="宋体"/>
          <w:lang w:eastAsia="zh-CN"/>
        </w:rPr>
        <w:t>丙烯腈</w:t>
      </w:r>
      <w:r>
        <w:rPr>
          <w:rFonts w:hint="eastAsia" w:ascii="宋体" w:hAnsi="宋体"/>
        </w:rPr>
        <w:t>、烷烃、烯烃、醇类、苯胺类、多环芳烃、硝基化合物、亚硝胺、氯苯类、硝基苯类、丙酮、糖类、蛋白质、有机磷农药等；</w:t>
      </w:r>
    </w:p>
    <w:p>
      <w:pPr>
        <w:spacing w:line="360" w:lineRule="exact"/>
        <w:ind w:firstLine="420" w:firstLineChars="200"/>
        <w:rPr>
          <w:rFonts w:ascii="宋体" w:hAnsi="宋体"/>
        </w:rPr>
      </w:pPr>
      <w:r>
        <w:rPr>
          <w:rFonts w:hint="eastAsia" w:ascii="宋体" w:hAnsi="宋体"/>
        </w:rPr>
        <w:t>2.3.生物类：细菌、衣原体、支原体、螺旋体、真菌、大肠杆菌等。</w:t>
      </w:r>
    </w:p>
    <w:p>
      <w:pPr>
        <w:pStyle w:val="29"/>
      </w:pPr>
      <w:r>
        <w:rPr>
          <w:rFonts w:hint="eastAsia"/>
        </w:rPr>
        <w:t xml:space="preserve"> </w:t>
      </w:r>
    </w:p>
    <w:p>
      <w:pPr>
        <w:spacing w:line="380" w:lineRule="exact"/>
        <w:rPr>
          <w:rFonts w:ascii="宋体" w:hAnsi="宋体"/>
          <w:b/>
        </w:rPr>
      </w:pPr>
      <w:r>
        <w:rPr>
          <w:rFonts w:hint="eastAsia" w:ascii="宋体" w:hAnsi="宋体"/>
          <w:b/>
        </w:rPr>
        <w:t>3.设备处理量：</w:t>
      </w:r>
    </w:p>
    <w:p>
      <w:pPr>
        <w:spacing w:line="360" w:lineRule="exact"/>
        <w:ind w:firstLine="420" w:firstLineChars="200"/>
        <w:rPr>
          <w:rFonts w:ascii="宋体" w:hAnsi="宋体"/>
        </w:rPr>
      </w:pPr>
      <w:r>
        <w:rPr>
          <w:rFonts w:hint="eastAsia" w:ascii="宋体" w:hAnsi="宋体"/>
        </w:rPr>
        <w:t>设备日处理废水量：20T/D。</w:t>
      </w:r>
    </w:p>
    <w:p>
      <w:pPr>
        <w:pStyle w:val="29"/>
      </w:pPr>
      <w:r>
        <w:rPr>
          <w:rFonts w:hint="eastAsia"/>
        </w:rPr>
        <w:t xml:space="preserve"> </w:t>
      </w:r>
    </w:p>
    <w:p>
      <w:pPr>
        <w:spacing w:line="380" w:lineRule="exact"/>
        <w:rPr>
          <w:rFonts w:ascii="宋体" w:hAnsi="宋体"/>
          <w:b/>
        </w:rPr>
      </w:pPr>
      <w:r>
        <w:rPr>
          <w:rFonts w:hint="eastAsia" w:ascii="宋体" w:hAnsi="宋体"/>
          <w:b/>
        </w:rPr>
        <w:t>4.设备基本要求：</w:t>
      </w:r>
    </w:p>
    <w:p>
      <w:pPr>
        <w:spacing w:line="360" w:lineRule="exact"/>
        <w:ind w:firstLine="420" w:firstLineChars="200"/>
        <w:rPr>
          <w:rFonts w:ascii="宋体" w:hAnsi="宋体"/>
        </w:rPr>
      </w:pPr>
      <w:r>
        <w:rPr>
          <w:rFonts w:hint="eastAsia" w:ascii="宋体" w:hAnsi="宋体"/>
        </w:rPr>
        <w:t>4.1.依据上述废水特性及化学组成，有针对性地采取相应工艺路线及与之配套的技术方法与手段实现无害化处理，最终实现达标排放；</w:t>
      </w:r>
    </w:p>
    <w:p>
      <w:pPr>
        <w:spacing w:line="360" w:lineRule="exact"/>
        <w:ind w:firstLine="420" w:firstLineChars="200"/>
        <w:rPr>
          <w:rFonts w:ascii="宋体" w:hAnsi="宋体"/>
        </w:rPr>
      </w:pPr>
      <w:r>
        <w:rPr>
          <w:rFonts w:hint="eastAsia" w:ascii="宋体" w:hAnsi="宋体"/>
        </w:rPr>
        <w:t>4.2.实验室废水处理设备排水符合《污水排入城镇下水道水质标准》(GB/T31962-2015</w:t>
      </w:r>
      <w:r>
        <w:rPr>
          <w:rFonts w:hint="eastAsia" w:ascii="宋体" w:hAnsi="宋体"/>
          <w:lang w:eastAsia="zh-CN"/>
        </w:rPr>
        <w:t>）</w:t>
      </w:r>
      <w:r>
        <w:rPr>
          <w:rFonts w:hint="eastAsia" w:ascii="宋体" w:hAnsi="宋体"/>
        </w:rPr>
        <w:t>的A级标准；</w:t>
      </w:r>
    </w:p>
    <w:p>
      <w:pPr>
        <w:spacing w:line="360" w:lineRule="exact"/>
        <w:ind w:firstLine="420" w:firstLineChars="200"/>
        <w:rPr>
          <w:rFonts w:ascii="宋体" w:hAnsi="宋体"/>
        </w:rPr>
      </w:pPr>
      <w:r>
        <w:rPr>
          <w:rFonts w:hint="eastAsia" w:ascii="宋体" w:hAnsi="宋体"/>
        </w:rPr>
        <w:t>4.3.处理全过程智能化运行和管理；</w:t>
      </w:r>
    </w:p>
    <w:p>
      <w:pPr>
        <w:spacing w:line="360" w:lineRule="exact"/>
        <w:ind w:firstLine="420" w:firstLineChars="200"/>
        <w:rPr>
          <w:rFonts w:ascii="宋体" w:hAnsi="宋体"/>
        </w:rPr>
      </w:pPr>
      <w:r>
        <w:rPr>
          <w:rFonts w:hint="eastAsia" w:ascii="宋体" w:hAnsi="宋体"/>
        </w:rPr>
        <w:t>4.4.设备尺寸要求：实验室废水处理设备安装于设备房内，设备尺寸、布置安装除满足国家相关设计施工规范外，还需要满足操作、维护要求，确保运行安全。</w:t>
      </w:r>
    </w:p>
    <w:p>
      <w:pPr>
        <w:pStyle w:val="8"/>
        <w:rPr>
          <w:rFonts w:ascii="宋体" w:hAnsi="宋体"/>
          <w:b/>
        </w:rPr>
      </w:pPr>
      <w:r>
        <w:rPr>
          <w:rFonts w:hint="eastAsia"/>
        </w:rPr>
        <w:t xml:space="preserve"> </w:t>
      </w:r>
      <w:r>
        <w:rPr>
          <w:rFonts w:hint="eastAsia" w:ascii="宋体" w:hAnsi="宋体"/>
          <w:b/>
        </w:rPr>
        <w:t>5.技术参数要求：</w:t>
      </w: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00"/>
        <w:gridCol w:w="845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7" w:hRule="atLeast"/>
        </w:trPr>
        <w:tc>
          <w:tcPr>
            <w:tcW w:w="900" w:type="dxa"/>
            <w:tcBorders>
              <w:top w:val="single" w:color="auto" w:sz="4" w:space="0"/>
              <w:left w:val="single" w:color="auto" w:sz="4" w:space="0"/>
              <w:bottom w:val="single" w:color="auto" w:sz="4" w:space="0"/>
              <w:right w:val="single" w:color="auto" w:sz="2" w:space="0"/>
            </w:tcBorders>
            <w:vAlign w:val="center"/>
          </w:tcPr>
          <w:p>
            <w:pPr>
              <w:spacing w:line="360" w:lineRule="auto"/>
              <w:jc w:val="center"/>
              <w:rPr>
                <w:rFonts w:ascii="宋体" w:hAnsi="宋体"/>
                <w:spacing w:val="6"/>
                <w:sz w:val="20"/>
                <w:szCs w:val="20"/>
              </w:rPr>
            </w:pPr>
            <w:r>
              <w:rPr>
                <w:rFonts w:hint="eastAsia" w:ascii="宋体" w:hAnsi="宋体"/>
                <w:spacing w:val="6"/>
                <w:sz w:val="20"/>
                <w:szCs w:val="20"/>
              </w:rPr>
              <w:t>条款号</w:t>
            </w:r>
          </w:p>
        </w:tc>
        <w:tc>
          <w:tcPr>
            <w:tcW w:w="8451" w:type="dxa"/>
            <w:tcBorders>
              <w:top w:val="single" w:color="auto" w:sz="4" w:space="0"/>
              <w:left w:val="single" w:color="auto" w:sz="2" w:space="0"/>
              <w:bottom w:val="single" w:color="auto" w:sz="4" w:space="0"/>
              <w:right w:val="single" w:color="auto" w:sz="4" w:space="0"/>
            </w:tcBorders>
            <w:vAlign w:val="center"/>
          </w:tcPr>
          <w:p>
            <w:pPr>
              <w:spacing w:line="360" w:lineRule="auto"/>
              <w:jc w:val="center"/>
              <w:rPr>
                <w:rFonts w:ascii="宋体" w:hAnsi="宋体"/>
                <w:spacing w:val="6"/>
                <w:sz w:val="20"/>
                <w:szCs w:val="20"/>
              </w:rPr>
            </w:pPr>
            <w:r>
              <w:rPr>
                <w:rFonts w:hint="eastAsia" w:ascii="宋体" w:hAnsi="宋体"/>
                <w:spacing w:val="6"/>
                <w:sz w:val="20"/>
                <w:szCs w:val="20"/>
              </w:rPr>
              <w:t>招标规格及技术要求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b/>
                <w:bCs/>
                <w:spacing w:val="6"/>
                <w:sz w:val="20"/>
                <w:szCs w:val="20"/>
              </w:rPr>
            </w:pPr>
            <w:r>
              <w:rPr>
                <w:rFonts w:hint="eastAsia" w:ascii="宋体" w:hAnsi="宋体"/>
                <w:b/>
                <w:bCs/>
                <w:spacing w:val="6"/>
                <w:sz w:val="20"/>
                <w:szCs w:val="20"/>
              </w:rPr>
              <w:t>1</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b/>
                <w:bCs/>
                <w:spacing w:val="6"/>
                <w:sz w:val="20"/>
                <w:szCs w:val="20"/>
              </w:rPr>
            </w:pPr>
            <w:r>
              <w:rPr>
                <w:rFonts w:hint="eastAsia" w:ascii="宋体" w:hAnsi="宋体"/>
                <w:b/>
                <w:bCs/>
                <w:color w:val="000000"/>
                <w:kern w:val="0"/>
                <w:sz w:val="20"/>
                <w:szCs w:val="20"/>
              </w:rPr>
              <w:t>设备</w:t>
            </w:r>
            <w:r>
              <w:rPr>
                <w:rFonts w:hint="eastAsia" w:ascii="宋体" w:hAnsi="宋体"/>
                <w:b/>
                <w:bCs/>
                <w:spacing w:val="6"/>
                <w:sz w:val="20"/>
                <w:szCs w:val="20"/>
              </w:rPr>
              <w:t>的技术要求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1.1</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color w:val="000000"/>
                <w:kern w:val="0"/>
                <w:sz w:val="20"/>
                <w:szCs w:val="20"/>
              </w:rPr>
              <w:t>保证设备</w:t>
            </w:r>
            <w:r>
              <w:rPr>
                <w:rFonts w:hint="eastAsia" w:ascii="宋体" w:hAnsi="宋体"/>
                <w:spacing w:val="6"/>
                <w:sz w:val="20"/>
                <w:szCs w:val="20"/>
              </w:rPr>
              <w:t>处理规模：详见设备参数及主要配置清单。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1.2</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color w:val="000000"/>
                <w:kern w:val="0"/>
                <w:sz w:val="20"/>
                <w:szCs w:val="20"/>
              </w:rPr>
              <w:t>设备</w:t>
            </w:r>
            <w:r>
              <w:rPr>
                <w:rFonts w:hint="eastAsia" w:ascii="宋体" w:hAnsi="宋体"/>
                <w:spacing w:val="6"/>
                <w:sz w:val="20"/>
                <w:szCs w:val="20"/>
              </w:rPr>
              <w:t>占地面积（含控制、配电、实训等）需按照已建设备房或要求的基础面积布置。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★1.3</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实验室废水处理后的排水符合</w:t>
            </w:r>
            <w:r>
              <w:rPr>
                <w:rFonts w:hint="eastAsia" w:ascii="宋体" w:hAnsi="宋体"/>
                <w:sz w:val="20"/>
                <w:szCs w:val="20"/>
              </w:rPr>
              <w:t>《污水排入城镇下水道水质标准》(GB/T31962-2015</w:t>
            </w:r>
            <w:r>
              <w:rPr>
                <w:rFonts w:hint="eastAsia" w:ascii="宋体" w:hAnsi="宋体"/>
                <w:sz w:val="20"/>
                <w:szCs w:val="20"/>
                <w:lang w:eastAsia="zh-CN"/>
              </w:rPr>
              <w:t>）</w:t>
            </w:r>
            <w:r>
              <w:rPr>
                <w:rFonts w:hint="eastAsia" w:ascii="宋体" w:hAnsi="宋体"/>
                <w:spacing w:val="6"/>
                <w:sz w:val="20"/>
                <w:szCs w:val="20"/>
              </w:rPr>
              <w:t>的A级标准。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1.4</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jc w:val="left"/>
              <w:rPr>
                <w:rFonts w:ascii="宋体" w:hAnsi="宋体"/>
                <w:spacing w:val="6"/>
                <w:sz w:val="20"/>
                <w:szCs w:val="20"/>
              </w:rPr>
            </w:pPr>
            <w:r>
              <w:rPr>
                <w:rFonts w:hint="eastAsia" w:ascii="宋体" w:hAnsi="宋体"/>
                <w:spacing w:val="6"/>
                <w:sz w:val="20"/>
                <w:szCs w:val="20"/>
              </w:rPr>
              <w:t>要求设计全面符合现行的《室外排水设计规范》（GB50014-2016）等有关设计规范和规程要求，施工应符合现行有关系统施工及验收规范的要求。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1.5</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color w:val="000000"/>
                <w:kern w:val="0"/>
                <w:sz w:val="20"/>
                <w:szCs w:val="20"/>
              </w:rPr>
              <w:t>设备</w:t>
            </w:r>
            <w:r>
              <w:rPr>
                <w:rFonts w:hint="eastAsia" w:ascii="宋体" w:hAnsi="宋体"/>
                <w:spacing w:val="6"/>
                <w:sz w:val="20"/>
                <w:szCs w:val="20"/>
              </w:rPr>
              <w:t>采用全自动过程控制模式。自动控制部分包含工控组态系统</w:t>
            </w:r>
            <w:r>
              <w:rPr>
                <w:rFonts w:hint="eastAsia" w:ascii="宋体" w:hAnsi="宋体"/>
                <w:spacing w:val="6"/>
                <w:sz w:val="20"/>
                <w:szCs w:val="20"/>
                <w:lang w:eastAsia="zh-CN"/>
              </w:rPr>
              <w:t>－</w:t>
            </w:r>
            <w:r>
              <w:rPr>
                <w:rFonts w:hint="eastAsia" w:ascii="宋体" w:hAnsi="宋体"/>
                <w:spacing w:val="6"/>
                <w:sz w:val="20"/>
                <w:szCs w:val="20"/>
              </w:rPr>
              <w:t>现场控制</w:t>
            </w:r>
            <w:r>
              <w:rPr>
                <w:rFonts w:hint="eastAsia" w:ascii="宋体" w:hAnsi="宋体"/>
                <w:spacing w:val="6"/>
                <w:sz w:val="20"/>
                <w:szCs w:val="20"/>
                <w:lang w:eastAsia="zh-CN"/>
              </w:rPr>
              <w:t>－</w:t>
            </w:r>
            <w:r>
              <w:rPr>
                <w:rFonts w:hint="eastAsia" w:ascii="宋体" w:hAnsi="宋体"/>
                <w:spacing w:val="6"/>
                <w:sz w:val="20"/>
                <w:szCs w:val="20"/>
              </w:rPr>
              <w:t>水质传感器数据传输，能实现远程控制及远程诊断。用于设备运行的必要的在线仪器仪表，投标人需要列出清单。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1.6</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color w:val="000000"/>
                <w:kern w:val="0"/>
                <w:sz w:val="20"/>
                <w:szCs w:val="20"/>
              </w:rPr>
              <w:t>设备</w:t>
            </w:r>
            <w:r>
              <w:rPr>
                <w:rFonts w:hint="eastAsia" w:ascii="宋体" w:hAnsi="宋体"/>
                <w:spacing w:val="6"/>
                <w:sz w:val="20"/>
                <w:szCs w:val="20"/>
              </w:rPr>
              <w:t>采用模块化设计，安装、操作、维护具有良好的方便性和安全性。</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1.7</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投标人要对工艺流程进行详细说明，处理工艺流程要求采用常温、常压工艺，确保装置运行安全。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b/>
                <w:bCs/>
                <w:spacing w:val="6"/>
                <w:sz w:val="20"/>
                <w:szCs w:val="20"/>
              </w:rPr>
            </w:pPr>
            <w:r>
              <w:rPr>
                <w:rFonts w:hint="eastAsia" w:ascii="宋体" w:hAnsi="宋体"/>
                <w:b/>
                <w:bCs/>
                <w:spacing w:val="6"/>
                <w:sz w:val="20"/>
                <w:szCs w:val="20"/>
              </w:rPr>
              <w:t>2</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b/>
                <w:bCs/>
                <w:spacing w:val="6"/>
                <w:sz w:val="20"/>
                <w:szCs w:val="20"/>
              </w:rPr>
            </w:pPr>
            <w:r>
              <w:rPr>
                <w:rFonts w:hint="eastAsia" w:ascii="宋体" w:hAnsi="宋体"/>
                <w:b/>
                <w:bCs/>
                <w:spacing w:val="6"/>
                <w:sz w:val="20"/>
                <w:szCs w:val="20"/>
              </w:rPr>
              <w:t>附属设备的技术要求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★2.1</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color w:val="000000"/>
                <w:kern w:val="0"/>
                <w:sz w:val="20"/>
                <w:szCs w:val="20"/>
              </w:rPr>
              <w:t>设备</w:t>
            </w:r>
            <w:r>
              <w:rPr>
                <w:rFonts w:hint="eastAsia" w:ascii="宋体" w:hAnsi="宋体"/>
                <w:spacing w:val="6"/>
                <w:sz w:val="20"/>
                <w:szCs w:val="20"/>
              </w:rPr>
              <w:t>及装置附属的主要设备、材料均应适用于废水处理的强腐蚀环境。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33"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2.2</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附属设备（材料）要求明确其生产厂家，且为国家优质品牌产品或同类产品，投标人需要列出清单。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2.3</w:t>
            </w:r>
          </w:p>
        </w:tc>
        <w:tc>
          <w:tcPr>
            <w:tcW w:w="8451" w:type="dxa"/>
            <w:tcBorders>
              <w:top w:val="single" w:color="auto" w:sz="2" w:space="0"/>
              <w:left w:val="single" w:color="auto" w:sz="2" w:space="0"/>
              <w:bottom w:val="single" w:color="auto" w:sz="2" w:space="0"/>
              <w:right w:val="single" w:color="auto" w:sz="4" w:space="0"/>
            </w:tcBorders>
            <w:vAlign w:val="center"/>
          </w:tcPr>
          <w:p>
            <w:pPr>
              <w:spacing w:line="360" w:lineRule="auto"/>
              <w:ind w:left="105" w:leftChars="50"/>
              <w:rPr>
                <w:rFonts w:ascii="宋体" w:hAnsi="宋体"/>
                <w:spacing w:val="6"/>
                <w:sz w:val="20"/>
                <w:szCs w:val="20"/>
              </w:rPr>
            </w:pPr>
            <w:r>
              <w:rPr>
                <w:rFonts w:hint="eastAsia" w:ascii="宋体" w:hAnsi="宋体"/>
                <w:color w:val="000000"/>
                <w:kern w:val="0"/>
                <w:sz w:val="20"/>
                <w:szCs w:val="20"/>
              </w:rPr>
              <w:t>设备</w:t>
            </w:r>
            <w:r>
              <w:rPr>
                <w:rFonts w:hint="eastAsia" w:ascii="宋体" w:hAnsi="宋体"/>
                <w:spacing w:val="6"/>
                <w:sz w:val="20"/>
                <w:szCs w:val="20"/>
              </w:rPr>
              <w:t>附属的重要部件和器材应有备用，投标人需要列出清单。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2.4</w:t>
            </w:r>
          </w:p>
        </w:tc>
        <w:tc>
          <w:tcPr>
            <w:tcW w:w="8451" w:type="dxa"/>
            <w:tcBorders>
              <w:top w:val="single" w:color="auto" w:sz="2" w:space="0"/>
              <w:left w:val="single" w:color="auto" w:sz="2" w:space="0"/>
              <w:bottom w:val="single" w:color="auto" w:sz="2" w:space="0"/>
              <w:right w:val="single" w:color="auto" w:sz="4" w:space="0"/>
            </w:tcBorders>
            <w:vAlign w:val="center"/>
          </w:tcPr>
          <w:p>
            <w:pPr>
              <w:spacing w:line="360" w:lineRule="auto"/>
              <w:ind w:left="105" w:leftChars="50"/>
              <w:rPr>
                <w:rFonts w:ascii="宋体" w:hAnsi="宋体"/>
                <w:spacing w:val="6"/>
                <w:sz w:val="20"/>
                <w:szCs w:val="20"/>
              </w:rPr>
            </w:pPr>
            <w:r>
              <w:rPr>
                <w:rFonts w:hint="eastAsia" w:ascii="宋体" w:hAnsi="宋体"/>
                <w:spacing w:val="6"/>
                <w:sz w:val="20"/>
                <w:szCs w:val="20"/>
              </w:rPr>
              <w:t>设备布置应考虑运行、维修人员操作条件。整套装置设置足够的供安装、运行、检修和观测用的人孔、采样口、通道。</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2.5</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处理</w:t>
            </w:r>
            <w:r>
              <w:rPr>
                <w:rFonts w:hint="eastAsia" w:ascii="宋体" w:hAnsi="宋体"/>
                <w:color w:val="000000"/>
                <w:kern w:val="0"/>
                <w:sz w:val="20"/>
                <w:szCs w:val="20"/>
              </w:rPr>
              <w:t>设备</w:t>
            </w:r>
            <w:r>
              <w:rPr>
                <w:rFonts w:hint="eastAsia" w:ascii="宋体" w:hAnsi="宋体"/>
                <w:spacing w:val="6"/>
                <w:sz w:val="20"/>
                <w:szCs w:val="20"/>
              </w:rPr>
              <w:t>布置应结合实际情况，发挥工艺优势，合理利用现有场地地形，选择经济合理的布置形式，贯彻节能原则，最大限度地降低废水及污泥的处理成本，保障处理设备在日后的运行过程中操作简单、维修方便，处理设备应消除二次污染，投标人应给予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b/>
                <w:bCs/>
                <w:spacing w:val="6"/>
                <w:sz w:val="20"/>
                <w:szCs w:val="20"/>
              </w:rPr>
            </w:pPr>
            <w:r>
              <w:rPr>
                <w:rFonts w:hint="eastAsia" w:ascii="宋体" w:hAnsi="宋体"/>
                <w:b/>
                <w:bCs/>
                <w:spacing w:val="6"/>
                <w:sz w:val="20"/>
                <w:szCs w:val="20"/>
              </w:rPr>
              <w:t>3</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b/>
                <w:bCs/>
                <w:spacing w:val="6"/>
                <w:sz w:val="20"/>
                <w:szCs w:val="20"/>
              </w:rPr>
            </w:pPr>
            <w:r>
              <w:rPr>
                <w:rFonts w:hint="eastAsia" w:ascii="宋体" w:hAnsi="宋体"/>
                <w:b/>
                <w:bCs/>
                <w:spacing w:val="6"/>
                <w:sz w:val="20"/>
                <w:szCs w:val="20"/>
              </w:rPr>
              <w:t>电气与控制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tcPr>
          <w:p>
            <w:pPr>
              <w:spacing w:line="360" w:lineRule="auto"/>
              <w:ind w:left="105" w:leftChars="50"/>
              <w:jc w:val="center"/>
              <w:rPr>
                <w:rFonts w:ascii="宋体" w:hAnsi="宋体"/>
                <w:spacing w:val="6"/>
                <w:sz w:val="20"/>
                <w:szCs w:val="20"/>
              </w:rPr>
            </w:pPr>
            <w:r>
              <w:rPr>
                <w:rFonts w:hint="eastAsia" w:ascii="宋体" w:hAnsi="宋体"/>
                <w:spacing w:val="6"/>
                <w:sz w:val="20"/>
                <w:szCs w:val="20"/>
              </w:rPr>
              <w:t>★3.1</w:t>
            </w:r>
          </w:p>
        </w:tc>
        <w:tc>
          <w:tcPr>
            <w:tcW w:w="8451" w:type="dxa"/>
            <w:tcBorders>
              <w:top w:val="single" w:color="auto" w:sz="2" w:space="0"/>
              <w:left w:val="single" w:color="auto" w:sz="2" w:space="0"/>
              <w:bottom w:val="single" w:color="auto" w:sz="2" w:space="0"/>
              <w:right w:val="single" w:color="auto" w:sz="4" w:space="0"/>
            </w:tcBorders>
          </w:tcPr>
          <w:p>
            <w:pPr>
              <w:spacing w:line="360" w:lineRule="auto"/>
              <w:ind w:left="105" w:leftChars="50"/>
              <w:rPr>
                <w:rFonts w:ascii="宋体" w:hAnsi="宋体"/>
                <w:spacing w:val="6"/>
                <w:sz w:val="20"/>
                <w:szCs w:val="20"/>
              </w:rPr>
            </w:pPr>
            <w:r>
              <w:rPr>
                <w:rFonts w:hint="eastAsia" w:ascii="宋体" w:hAnsi="宋体"/>
                <w:spacing w:val="6"/>
                <w:sz w:val="20"/>
                <w:szCs w:val="20"/>
              </w:rPr>
              <w:t>处理</w:t>
            </w:r>
            <w:r>
              <w:rPr>
                <w:rFonts w:hint="eastAsia" w:ascii="宋体" w:hAnsi="宋体"/>
                <w:color w:val="000000"/>
                <w:kern w:val="0"/>
                <w:sz w:val="20"/>
                <w:szCs w:val="20"/>
              </w:rPr>
              <w:t>设备</w:t>
            </w:r>
            <w:r>
              <w:rPr>
                <w:rFonts w:hint="eastAsia" w:ascii="宋体" w:hAnsi="宋体"/>
                <w:spacing w:val="6"/>
                <w:sz w:val="20"/>
                <w:szCs w:val="20"/>
              </w:rPr>
              <w:t>应配套PLC控制系统，其控制方案的设计应符合工艺系统的控制要求。能实现无人值守情况下的正常运行。</w:t>
            </w:r>
            <w:r>
              <w:rPr>
                <w:rFonts w:hint="eastAsia" w:ascii="宋体" w:hAnsi="宋体"/>
                <w:spacing w:val="6"/>
                <w:sz w:val="20"/>
                <w:szCs w:val="20"/>
                <w:lang w:eastAsia="zh-CN"/>
              </w:rPr>
              <w:t>（</w:t>
            </w:r>
            <w:r>
              <w:rPr>
                <w:rFonts w:hint="eastAsia" w:ascii="宋体" w:hAnsi="宋体"/>
                <w:spacing w:val="6"/>
                <w:sz w:val="20"/>
                <w:szCs w:val="20"/>
              </w:rPr>
              <w:t>需提供实验室废水处理运行的相关佐证材料</w:t>
            </w:r>
            <w:r>
              <w:rPr>
                <w:rFonts w:hint="eastAsia" w:ascii="宋体" w:hAnsi="宋体"/>
                <w:spacing w:val="6"/>
                <w:sz w:val="20"/>
                <w:szCs w:val="20"/>
                <w:lang w:eastAsia="zh-CN"/>
              </w:rPr>
              <w:t>）</w:t>
            </w:r>
            <w:r>
              <w:rPr>
                <w:rFonts w:hint="eastAsia" w:ascii="宋体" w:hAnsi="宋体"/>
                <w:spacing w:val="6"/>
                <w:sz w:val="20"/>
                <w:szCs w:val="20"/>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color w:val="000000"/>
                <w:sz w:val="20"/>
                <w:szCs w:val="20"/>
              </w:rPr>
              <w:t>▲</w:t>
            </w:r>
            <w:r>
              <w:rPr>
                <w:rFonts w:hint="eastAsia" w:ascii="宋体" w:hAnsi="宋体"/>
                <w:spacing w:val="6"/>
                <w:sz w:val="20"/>
                <w:szCs w:val="20"/>
              </w:rPr>
              <w:t>3.2</w:t>
            </w:r>
          </w:p>
        </w:tc>
        <w:tc>
          <w:tcPr>
            <w:tcW w:w="8451" w:type="dxa"/>
            <w:tcBorders>
              <w:top w:val="single" w:color="auto" w:sz="2" w:space="0"/>
              <w:left w:val="single" w:color="auto" w:sz="2" w:space="0"/>
              <w:bottom w:val="single" w:color="auto" w:sz="2" w:space="0"/>
              <w:right w:val="single" w:color="auto" w:sz="4" w:space="0"/>
            </w:tcBorders>
            <w:vAlign w:val="center"/>
          </w:tcPr>
          <w:p>
            <w:pPr>
              <w:spacing w:line="360" w:lineRule="auto"/>
              <w:ind w:left="105" w:leftChars="50"/>
              <w:rPr>
                <w:rFonts w:ascii="宋体" w:hAnsi="宋体"/>
                <w:spacing w:val="6"/>
                <w:sz w:val="20"/>
                <w:szCs w:val="20"/>
              </w:rPr>
            </w:pPr>
            <w:r>
              <w:rPr>
                <w:rFonts w:hint="eastAsia" w:ascii="宋体" w:hAnsi="宋体"/>
                <w:spacing w:val="6"/>
                <w:sz w:val="20"/>
                <w:szCs w:val="20"/>
              </w:rPr>
              <w:t>机柜所选用的主要元器件</w:t>
            </w:r>
            <w:r>
              <w:rPr>
                <w:rFonts w:hint="eastAsia" w:ascii="宋体" w:hAnsi="宋体"/>
                <w:spacing w:val="6"/>
                <w:sz w:val="20"/>
                <w:szCs w:val="20"/>
                <w:lang w:eastAsia="zh-CN"/>
              </w:rPr>
              <w:t>（</w:t>
            </w:r>
            <w:r>
              <w:rPr>
                <w:rFonts w:hint="eastAsia" w:ascii="宋体" w:hAnsi="宋体"/>
                <w:spacing w:val="6"/>
                <w:sz w:val="20"/>
                <w:szCs w:val="20"/>
              </w:rPr>
              <w:t>包括插接件</w:t>
            </w:r>
            <w:r>
              <w:rPr>
                <w:rFonts w:hint="eastAsia" w:ascii="宋体" w:hAnsi="宋体"/>
                <w:spacing w:val="6"/>
                <w:sz w:val="20"/>
                <w:szCs w:val="20"/>
                <w:lang w:eastAsia="zh-CN"/>
              </w:rPr>
              <w:t>）</w:t>
            </w:r>
            <w:r>
              <w:rPr>
                <w:rFonts w:hint="eastAsia" w:ascii="宋体" w:hAnsi="宋体"/>
                <w:spacing w:val="6"/>
                <w:sz w:val="20"/>
                <w:szCs w:val="20"/>
              </w:rPr>
              <w:t>均采用优质元器件，所有电子元器件符合国际标准和部颁标准的要求，使之具有高度的可靠性和互换性，投标人需要列出清单。</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3.3</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一般控制导线采用KVVP电缆，截面不小于1.5mm</w:t>
            </w:r>
            <w:r>
              <w:rPr>
                <w:rFonts w:hint="eastAsia" w:ascii="宋体" w:hAnsi="宋体"/>
                <w:spacing w:val="6"/>
                <w:sz w:val="20"/>
                <w:szCs w:val="20"/>
                <w:vertAlign w:val="superscript"/>
              </w:rPr>
              <w:t>2</w:t>
            </w:r>
            <w:r>
              <w:rPr>
                <w:rFonts w:hint="eastAsia" w:ascii="宋体" w:hAnsi="宋体"/>
                <w:spacing w:val="6"/>
                <w:sz w:val="20"/>
                <w:szCs w:val="20"/>
              </w:rPr>
              <w:t>，电流、电压及断路器合闸回路的控制导线采用KVV电缆，截面不小于2.5mm</w:t>
            </w:r>
            <w:r>
              <w:rPr>
                <w:rFonts w:hint="eastAsia" w:ascii="宋体" w:hAnsi="宋体"/>
                <w:spacing w:val="6"/>
                <w:sz w:val="20"/>
                <w:szCs w:val="20"/>
                <w:vertAlign w:val="superscript"/>
              </w:rPr>
              <w:t>2</w:t>
            </w:r>
            <w:r>
              <w:rPr>
                <w:rFonts w:hint="eastAsia" w:ascii="宋体" w:hAnsi="宋体"/>
                <w:spacing w:val="6"/>
                <w:sz w:val="20"/>
                <w:szCs w:val="20"/>
              </w:rPr>
              <w:t>，风机电机电缆的采用（GB-5023-97）标准BV电线</w:t>
            </w:r>
            <w:r>
              <w:rPr>
                <w:rFonts w:hint="eastAsia" w:ascii="宋体" w:hAnsi="宋体"/>
                <w:spacing w:val="6"/>
                <w:sz w:val="20"/>
                <w:szCs w:val="20"/>
                <w:lang w:eastAsia="zh-CN"/>
              </w:rPr>
              <w:t>，</w:t>
            </w:r>
            <w:r>
              <w:rPr>
                <w:rFonts w:hint="eastAsia" w:ascii="宋体" w:hAnsi="宋体"/>
                <w:spacing w:val="6"/>
                <w:sz w:val="20"/>
                <w:szCs w:val="20"/>
              </w:rPr>
              <w:t>截面积不小于4 mm</w:t>
            </w:r>
            <w:r>
              <w:rPr>
                <w:rFonts w:hint="eastAsia" w:ascii="宋体" w:hAnsi="宋体"/>
                <w:spacing w:val="6"/>
                <w:sz w:val="20"/>
                <w:szCs w:val="20"/>
                <w:vertAlign w:val="superscript"/>
              </w:rPr>
              <w:t>2</w:t>
            </w:r>
            <w:r>
              <w:rPr>
                <w:rFonts w:hint="eastAsia" w:ascii="宋体" w:hAnsi="宋体"/>
                <w:spacing w:val="6"/>
                <w:sz w:val="20"/>
                <w:szCs w:val="20"/>
              </w:rPr>
              <w:t>。动力电源所选择的电线，要求是三相五线，并符合国家规定接线标准。测量仪表的防护等级要求满足水下或有可能在水下的部分的防护等级为IP68，水上部分的防护等级为IP65。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3.4</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PLC应具有网络通讯接口，能与其他承包方的PLC网络通讯，并提供相应的接口软件和设备。监控软件、正版组态软件及通讯要求等与业主的其他控制网络系统兼容。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3.5</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系统自动控制部分预留不小于20%的接口。</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b/>
                <w:bCs/>
                <w:spacing w:val="6"/>
                <w:sz w:val="20"/>
                <w:szCs w:val="20"/>
              </w:rPr>
            </w:pPr>
            <w:r>
              <w:rPr>
                <w:rFonts w:hint="eastAsia" w:ascii="宋体" w:hAnsi="宋体"/>
                <w:b/>
                <w:bCs/>
                <w:spacing w:val="6"/>
                <w:sz w:val="20"/>
                <w:szCs w:val="20"/>
              </w:rPr>
              <w:t>4</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b/>
                <w:bCs/>
                <w:spacing w:val="6"/>
                <w:sz w:val="20"/>
                <w:szCs w:val="20"/>
              </w:rPr>
            </w:pPr>
            <w:r>
              <w:rPr>
                <w:rFonts w:hint="eastAsia" w:ascii="宋体" w:hAnsi="宋体"/>
                <w:b/>
                <w:bCs/>
                <w:spacing w:val="6"/>
                <w:sz w:val="20"/>
                <w:szCs w:val="20"/>
              </w:rPr>
              <w:t>通风及废气净化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tcPr>
          <w:p>
            <w:pPr>
              <w:spacing w:line="360" w:lineRule="auto"/>
              <w:ind w:left="105" w:leftChars="50"/>
              <w:jc w:val="center"/>
              <w:rPr>
                <w:rFonts w:ascii="宋体" w:hAnsi="宋体"/>
                <w:spacing w:val="6"/>
                <w:sz w:val="20"/>
                <w:szCs w:val="20"/>
              </w:rPr>
            </w:pPr>
            <w:r>
              <w:rPr>
                <w:rFonts w:hint="eastAsia" w:ascii="宋体" w:hAnsi="宋体"/>
                <w:spacing w:val="6"/>
                <w:sz w:val="20"/>
                <w:szCs w:val="20"/>
              </w:rPr>
              <w:t>★4.1</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废水处理间排出的废气必须经过废气净化设备处理达到《大气污染物综合排放标准》（GB16297-1996）后排放，周边环境空气无明显异味，达到国家标准。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tcPr>
          <w:p>
            <w:pPr>
              <w:spacing w:line="360" w:lineRule="auto"/>
              <w:ind w:left="105" w:leftChars="50"/>
              <w:jc w:val="center"/>
              <w:rPr>
                <w:rFonts w:ascii="宋体" w:hAnsi="宋体"/>
                <w:spacing w:val="6"/>
                <w:sz w:val="20"/>
                <w:szCs w:val="20"/>
              </w:rPr>
            </w:pPr>
            <w:r>
              <w:rPr>
                <w:rFonts w:hint="eastAsia" w:ascii="宋体" w:hAnsi="宋体"/>
                <w:spacing w:val="6"/>
                <w:sz w:val="20"/>
                <w:szCs w:val="20"/>
              </w:rPr>
              <w:t>4.2</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通风系统的风机采用防腐防爆风机，国家强制性产品认证CCC知名品牌产品，通风管路、阀门、配件应抗强酸、强碱、有机溶剂侵蚀和老化，应耐高温和不变形。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4.3</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rPr>
                <w:rFonts w:ascii="宋体" w:hAnsi="宋体"/>
                <w:spacing w:val="6"/>
                <w:sz w:val="20"/>
                <w:szCs w:val="20"/>
              </w:rPr>
            </w:pPr>
            <w:r>
              <w:rPr>
                <w:rFonts w:hint="eastAsia" w:ascii="宋体" w:hAnsi="宋体"/>
                <w:spacing w:val="6"/>
                <w:sz w:val="20"/>
                <w:szCs w:val="20"/>
              </w:rPr>
              <w:t>废水处理间排出的废气含多种有害气体，废气净化设备要求采用吸收、氧化、吸附等组合工艺，采用全流程自动运行模式，整体采用SUS304不锈钢</w:t>
            </w:r>
            <w:r>
              <w:rPr>
                <w:rFonts w:hint="eastAsia" w:ascii="宋体" w:hAnsi="宋体"/>
                <w:spacing w:val="6"/>
                <w:sz w:val="20"/>
                <w:szCs w:val="20"/>
                <w:lang w:eastAsia="zh-CN"/>
              </w:rPr>
              <w:t>材料制作</w:t>
            </w:r>
            <w:r>
              <w:rPr>
                <w:rFonts w:hint="eastAsia" w:ascii="宋体" w:hAnsi="宋体"/>
                <w:spacing w:val="6"/>
                <w:sz w:val="20"/>
                <w:szCs w:val="20"/>
              </w:rPr>
              <w:t>。</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4.4</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通风系统自控界面能显示整个通风系统图、设备启停状态、时控设定、风速、电压、风机运转频率、设备工作状态等工作参数。风机变频器采用西门子、欧瑞变频器或者同档次的其他品牌。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4.5</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spacing w:val="6"/>
                <w:sz w:val="20"/>
                <w:szCs w:val="20"/>
              </w:rPr>
            </w:pPr>
            <w:r>
              <w:rPr>
                <w:rFonts w:hint="eastAsia" w:ascii="宋体" w:hAnsi="宋体"/>
                <w:spacing w:val="6"/>
                <w:sz w:val="20"/>
                <w:szCs w:val="20"/>
              </w:rPr>
              <w:t>风机运行噪音在距风机中心1.5m范围≤75dB。消声器要求在系统压差2KPa的情况下不会有任何变形现象产生，所选用的消声材料应符合设计规定的防火、防腐、防潮及卫生要求。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07" w:hRule="atLeast"/>
        </w:trPr>
        <w:tc>
          <w:tcPr>
            <w:tcW w:w="900" w:type="dxa"/>
            <w:tcBorders>
              <w:top w:val="single" w:color="auto" w:sz="2" w:space="0"/>
              <w:left w:val="single" w:color="auto" w:sz="4" w:space="0"/>
              <w:bottom w:val="single" w:color="auto" w:sz="2" w:space="0"/>
              <w:right w:val="single" w:color="auto" w:sz="2" w:space="0"/>
            </w:tcBorders>
            <w:vAlign w:val="center"/>
          </w:tcPr>
          <w:p>
            <w:pPr>
              <w:spacing w:line="360" w:lineRule="auto"/>
              <w:ind w:left="105" w:leftChars="50"/>
              <w:jc w:val="center"/>
              <w:rPr>
                <w:rFonts w:ascii="宋体" w:hAnsi="宋体"/>
                <w:b/>
                <w:bCs/>
                <w:spacing w:val="6"/>
                <w:sz w:val="20"/>
                <w:szCs w:val="20"/>
              </w:rPr>
            </w:pPr>
            <w:r>
              <w:rPr>
                <w:rFonts w:hint="eastAsia" w:ascii="宋体" w:hAnsi="宋体"/>
                <w:b/>
                <w:bCs/>
                <w:spacing w:val="6"/>
                <w:sz w:val="20"/>
                <w:szCs w:val="20"/>
              </w:rPr>
              <w:t>5</w:t>
            </w:r>
          </w:p>
        </w:tc>
        <w:tc>
          <w:tcPr>
            <w:tcW w:w="8451"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360" w:lineRule="auto"/>
              <w:ind w:left="105" w:leftChars="50"/>
              <w:rPr>
                <w:rFonts w:ascii="宋体" w:hAnsi="宋体"/>
                <w:b/>
                <w:bCs/>
                <w:spacing w:val="6"/>
                <w:sz w:val="20"/>
                <w:szCs w:val="20"/>
              </w:rPr>
            </w:pPr>
            <w:r>
              <w:rPr>
                <w:rFonts w:hint="eastAsia" w:ascii="宋体" w:hAnsi="宋体"/>
                <w:b/>
                <w:bCs/>
                <w:spacing w:val="6"/>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00" w:type="dxa"/>
            <w:tcBorders>
              <w:top w:val="single" w:color="auto" w:sz="2" w:space="0"/>
              <w:left w:val="single" w:color="auto" w:sz="4" w:space="0"/>
              <w:bottom w:val="single" w:color="auto" w:sz="4" w:space="0"/>
              <w:right w:val="single" w:color="auto" w:sz="2" w:space="0"/>
            </w:tcBorders>
            <w:vAlign w:val="center"/>
          </w:tcPr>
          <w:p>
            <w:pPr>
              <w:spacing w:line="360" w:lineRule="auto"/>
              <w:ind w:left="105" w:leftChars="50"/>
              <w:jc w:val="center"/>
              <w:rPr>
                <w:rFonts w:ascii="宋体" w:hAnsi="宋体"/>
                <w:spacing w:val="6"/>
                <w:sz w:val="20"/>
                <w:szCs w:val="20"/>
              </w:rPr>
            </w:pPr>
            <w:r>
              <w:rPr>
                <w:rFonts w:hint="eastAsia" w:ascii="宋体" w:hAnsi="宋体"/>
                <w:spacing w:val="6"/>
                <w:sz w:val="20"/>
                <w:szCs w:val="20"/>
              </w:rPr>
              <w:t>5.1</w:t>
            </w:r>
          </w:p>
        </w:tc>
        <w:tc>
          <w:tcPr>
            <w:tcW w:w="8451" w:type="dxa"/>
            <w:tcBorders>
              <w:top w:val="single" w:color="auto" w:sz="2" w:space="0"/>
              <w:left w:val="single" w:color="auto" w:sz="2" w:space="0"/>
              <w:bottom w:val="single" w:color="auto" w:sz="4" w:space="0"/>
              <w:right w:val="single" w:color="auto" w:sz="4" w:space="0"/>
            </w:tcBorders>
            <w:vAlign w:val="center"/>
          </w:tcPr>
          <w:p>
            <w:pPr>
              <w:adjustRightInd w:val="0"/>
              <w:snapToGrid w:val="0"/>
              <w:spacing w:line="360" w:lineRule="auto"/>
              <w:rPr>
                <w:rFonts w:ascii="宋体" w:hAnsi="宋体"/>
                <w:spacing w:val="6"/>
                <w:sz w:val="20"/>
                <w:szCs w:val="20"/>
              </w:rPr>
            </w:pPr>
            <w:r>
              <w:rPr>
                <w:rFonts w:hint="eastAsia" w:ascii="宋体" w:hAnsi="宋体"/>
                <w:spacing w:val="6"/>
                <w:sz w:val="20"/>
                <w:szCs w:val="20"/>
              </w:rPr>
              <w:t>设备宜设置用于运行维护、安全检查和学生实践实训的观察口、取样口等必要设施。</w:t>
            </w:r>
          </w:p>
        </w:tc>
      </w:tr>
    </w:tbl>
    <w:p>
      <w:pPr>
        <w:spacing w:line="380" w:lineRule="exact"/>
        <w:rPr>
          <w:szCs w:val="21"/>
        </w:rPr>
      </w:pPr>
      <w:r>
        <w:rPr>
          <w:rFonts w:hint="eastAsia" w:ascii="宋体" w:hAnsi="宋体"/>
          <w:b/>
        </w:rPr>
        <w:t>3</w:t>
      </w:r>
      <w:r>
        <w:rPr>
          <w:rFonts w:ascii="宋体" w:hAnsi="宋体"/>
          <w:b/>
        </w:rPr>
        <w:t>.</w:t>
      </w:r>
      <w:r>
        <w:rPr>
          <w:rFonts w:hint="eastAsia" w:ascii="宋体" w:hAnsi="宋体"/>
          <w:b/>
        </w:rPr>
        <w:t>品牌建议推荐表：</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92"/>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 w:val="20"/>
                <w:szCs w:val="20"/>
              </w:rPr>
            </w:pPr>
            <w:r>
              <w:rPr>
                <w:rFonts w:hint="eastAsia" w:ascii="宋体" w:hAnsi="宋体"/>
                <w:bCs/>
              </w:rPr>
              <w:t>序号</w:t>
            </w:r>
          </w:p>
        </w:tc>
        <w:tc>
          <w:tcPr>
            <w:tcW w:w="2992" w:type="dxa"/>
            <w:tcBorders>
              <w:top w:val="single" w:color="auto" w:sz="4" w:space="0"/>
              <w:left w:val="nil"/>
              <w:bottom w:val="single" w:color="auto" w:sz="4" w:space="0"/>
              <w:right w:val="single" w:color="auto" w:sz="4" w:space="0"/>
            </w:tcBorders>
            <w:vAlign w:val="center"/>
          </w:tcPr>
          <w:p>
            <w:pPr>
              <w:adjustRightInd w:val="0"/>
              <w:snapToGrid w:val="0"/>
              <w:ind w:right="34"/>
              <w:jc w:val="center"/>
              <w:rPr>
                <w:rFonts w:hint="eastAsia" w:ascii="宋体" w:hAnsi="宋体"/>
                <w:kern w:val="0"/>
                <w:sz w:val="20"/>
                <w:szCs w:val="20"/>
              </w:rPr>
            </w:pPr>
            <w:r>
              <w:rPr>
                <w:rFonts w:hint="eastAsia" w:ascii="宋体" w:hAnsi="宋体"/>
                <w:bCs/>
              </w:rPr>
              <w:t>部件名称</w:t>
            </w:r>
          </w:p>
        </w:tc>
        <w:tc>
          <w:tcPr>
            <w:tcW w:w="3397" w:type="dxa"/>
            <w:tcBorders>
              <w:top w:val="single" w:color="auto" w:sz="4" w:space="0"/>
              <w:left w:val="nil"/>
              <w:bottom w:val="single" w:color="auto" w:sz="4" w:space="0"/>
              <w:right w:val="single" w:color="auto" w:sz="4" w:space="0"/>
            </w:tcBorders>
            <w:tcMar>
              <w:left w:w="28" w:type="dxa"/>
              <w:right w:w="28" w:type="dxa"/>
            </w:tcMar>
            <w:vAlign w:val="center"/>
          </w:tcPr>
          <w:p>
            <w:pPr>
              <w:jc w:val="center"/>
              <w:rPr>
                <w:rFonts w:hint="eastAsia" w:ascii="宋体" w:hAnsi="宋体"/>
                <w:kern w:val="0"/>
                <w:sz w:val="20"/>
                <w:szCs w:val="20"/>
              </w:rPr>
            </w:pPr>
            <w:r>
              <w:rPr>
                <w:rFonts w:hint="eastAsia" w:ascii="宋体" w:hAnsi="宋体"/>
                <w:bCs/>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w:t>
            </w:r>
          </w:p>
        </w:tc>
        <w:tc>
          <w:tcPr>
            <w:tcW w:w="2992" w:type="dxa"/>
            <w:tcBorders>
              <w:top w:val="single" w:color="auto" w:sz="4" w:space="0"/>
              <w:left w:val="nil"/>
              <w:bottom w:val="single" w:color="auto" w:sz="4" w:space="0"/>
              <w:right w:val="single" w:color="auto" w:sz="4" w:space="0"/>
            </w:tcBorders>
            <w:vAlign w:val="center"/>
          </w:tcPr>
          <w:p>
            <w:pPr>
              <w:adjustRightInd w:val="0"/>
              <w:snapToGrid w:val="0"/>
              <w:ind w:right="34"/>
              <w:jc w:val="left"/>
              <w:rPr>
                <w:rFonts w:ascii="宋体" w:hAnsi="宋体"/>
                <w:color w:val="auto"/>
                <w:kern w:val="0"/>
                <w:sz w:val="20"/>
                <w:szCs w:val="20"/>
              </w:rPr>
            </w:pPr>
            <w:r>
              <w:rPr>
                <w:rFonts w:hint="eastAsia" w:ascii="宋体" w:hAnsi="宋体"/>
                <w:color w:val="auto"/>
                <w:kern w:val="0"/>
                <w:sz w:val="20"/>
                <w:szCs w:val="20"/>
              </w:rPr>
              <w:t>废水集水井</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w:t>
            </w:r>
          </w:p>
        </w:tc>
        <w:tc>
          <w:tcPr>
            <w:tcW w:w="2992" w:type="dxa"/>
            <w:tcBorders>
              <w:top w:val="single" w:color="auto" w:sz="4" w:space="0"/>
              <w:left w:val="nil"/>
              <w:bottom w:val="single" w:color="auto" w:sz="4" w:space="0"/>
              <w:right w:val="single" w:color="auto" w:sz="4" w:space="0"/>
            </w:tcBorders>
            <w:vAlign w:val="center"/>
          </w:tcPr>
          <w:p>
            <w:pPr>
              <w:adjustRightInd w:val="0"/>
              <w:snapToGrid w:val="0"/>
              <w:ind w:right="34"/>
              <w:jc w:val="left"/>
              <w:rPr>
                <w:rFonts w:ascii="宋体" w:hAnsi="宋体"/>
                <w:color w:val="auto"/>
                <w:kern w:val="0"/>
                <w:sz w:val="20"/>
                <w:szCs w:val="20"/>
              </w:rPr>
            </w:pPr>
            <w:r>
              <w:rPr>
                <w:rFonts w:hint="eastAsia" w:ascii="宋体" w:hAnsi="宋体"/>
                <w:color w:val="auto"/>
                <w:kern w:val="0"/>
                <w:sz w:val="20"/>
                <w:szCs w:val="20"/>
              </w:rPr>
              <w:t>废水集水井格网</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w:t>
            </w:r>
          </w:p>
        </w:tc>
        <w:tc>
          <w:tcPr>
            <w:tcW w:w="2992" w:type="dxa"/>
            <w:tcBorders>
              <w:top w:val="single" w:color="auto" w:sz="4" w:space="0"/>
              <w:left w:val="nil"/>
              <w:bottom w:val="single" w:color="auto" w:sz="4" w:space="0"/>
              <w:right w:val="single" w:color="auto" w:sz="4" w:space="0"/>
            </w:tcBorders>
            <w:vAlign w:val="center"/>
          </w:tcPr>
          <w:p>
            <w:pPr>
              <w:adjustRightInd w:val="0"/>
              <w:snapToGrid w:val="0"/>
              <w:ind w:right="34"/>
              <w:jc w:val="left"/>
              <w:rPr>
                <w:rFonts w:ascii="宋体" w:hAnsi="宋体"/>
                <w:color w:val="auto"/>
                <w:kern w:val="0"/>
                <w:sz w:val="20"/>
                <w:szCs w:val="20"/>
              </w:rPr>
            </w:pPr>
            <w:r>
              <w:rPr>
                <w:rFonts w:hint="eastAsia" w:ascii="宋体" w:hAnsi="宋体"/>
                <w:color w:val="auto"/>
                <w:kern w:val="0"/>
                <w:sz w:val="20"/>
                <w:szCs w:val="20"/>
              </w:rPr>
              <w:t>废水集水井液位控制仪</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废水提升泵</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w:t>
            </w:r>
          </w:p>
        </w:tc>
        <w:tc>
          <w:tcPr>
            <w:tcW w:w="2992" w:type="dxa"/>
            <w:tcBorders>
              <w:top w:val="single" w:color="auto" w:sz="4" w:space="0"/>
              <w:left w:val="nil"/>
              <w:bottom w:val="single" w:color="auto" w:sz="4" w:space="0"/>
              <w:right w:val="single" w:color="auto" w:sz="4" w:space="0"/>
            </w:tcBorders>
            <w:vAlign w:val="center"/>
          </w:tcPr>
          <w:p>
            <w:pPr>
              <w:adjustRightInd w:val="0"/>
              <w:snapToGrid w:val="0"/>
              <w:ind w:right="-108"/>
              <w:jc w:val="left"/>
              <w:rPr>
                <w:rFonts w:ascii="宋体" w:hAnsi="宋体"/>
                <w:color w:val="auto"/>
                <w:kern w:val="0"/>
                <w:sz w:val="20"/>
                <w:szCs w:val="20"/>
              </w:rPr>
            </w:pPr>
            <w:r>
              <w:rPr>
                <w:rFonts w:hint="eastAsia" w:ascii="宋体" w:hAnsi="宋体"/>
                <w:color w:val="auto"/>
                <w:kern w:val="0"/>
                <w:sz w:val="20"/>
                <w:szCs w:val="20"/>
              </w:rPr>
              <w:t>集水坑提升泵</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加药罐</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7</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加药罐液位计</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8</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加药罐搅拌机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9</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加药泵</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10</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电磁阀</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11</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电磁流量计</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12</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转子流量计</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13</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pH调整槽</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14</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电化学</w:t>
            </w:r>
            <w:r>
              <w:rPr>
                <w:rFonts w:hint="eastAsia" w:ascii="宋体" w:hAnsi="宋体"/>
                <w:color w:val="auto"/>
                <w:kern w:val="0"/>
                <w:sz w:val="20"/>
                <w:szCs w:val="20"/>
                <w:lang w:eastAsia="zh-CN"/>
              </w:rPr>
              <w:t>（</w:t>
            </w:r>
            <w:r>
              <w:rPr>
                <w:rFonts w:hint="eastAsia" w:ascii="宋体" w:hAnsi="宋体"/>
                <w:color w:val="auto"/>
                <w:kern w:val="0"/>
                <w:sz w:val="20"/>
                <w:szCs w:val="20"/>
              </w:rPr>
              <w:t>微电解</w:t>
            </w:r>
            <w:r>
              <w:rPr>
                <w:rFonts w:hint="eastAsia" w:ascii="宋体" w:hAnsi="宋体"/>
                <w:color w:val="auto"/>
                <w:kern w:val="0"/>
                <w:sz w:val="20"/>
                <w:szCs w:val="20"/>
                <w:lang w:eastAsia="zh-CN"/>
              </w:rPr>
              <w:t>）</w:t>
            </w:r>
            <w:r>
              <w:rPr>
                <w:rFonts w:hint="eastAsia" w:ascii="宋体" w:hAnsi="宋体"/>
                <w:color w:val="auto"/>
                <w:kern w:val="0"/>
                <w:sz w:val="20"/>
                <w:szCs w:val="20"/>
              </w:rPr>
              <w:t>反应器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15</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重金属捕捉器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16</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絮凝反应沉淀器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17</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中间水槽</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18</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中间水槽液位计</w:t>
            </w:r>
          </w:p>
        </w:tc>
        <w:tc>
          <w:tcPr>
            <w:tcW w:w="3397" w:type="dxa"/>
            <w:tcBorders>
              <w:top w:val="single" w:color="auto" w:sz="4" w:space="0"/>
              <w:left w:val="nil"/>
              <w:bottom w:val="single" w:color="auto" w:sz="4" w:space="0"/>
              <w:right w:val="single" w:color="auto" w:sz="4" w:space="0"/>
            </w:tcBorders>
            <w:tcMar>
              <w:left w:w="28" w:type="dxa"/>
              <w:right w:w="28" w:type="dxa"/>
            </w:tcMar>
            <w:vAlign w:val="top"/>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19</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过程提升泵</w:t>
            </w:r>
          </w:p>
        </w:tc>
        <w:tc>
          <w:tcPr>
            <w:tcW w:w="3397" w:type="dxa"/>
            <w:tcBorders>
              <w:top w:val="single" w:color="auto" w:sz="4" w:space="0"/>
              <w:left w:val="nil"/>
              <w:bottom w:val="single" w:color="auto" w:sz="4" w:space="0"/>
              <w:right w:val="single" w:color="auto" w:sz="4" w:space="0"/>
            </w:tcBorders>
            <w:tcMar>
              <w:left w:w="28" w:type="dxa"/>
              <w:right w:w="28" w:type="dxa"/>
            </w:tcMar>
            <w:vAlign w:val="top"/>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20</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催化氧化反应器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21</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臭氧发生器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22</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臭氧尾气损毁器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23</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缺氧反应器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24</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好氧反应器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25</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缺氧反应器搅拌装置</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26</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充氧机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27</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高效沉淀器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28</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终端过滤器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29</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集成式消毒装置</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30</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废水管道</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hint="eastAsia" w:ascii="宋体" w:hAnsi="宋体" w:eastAsia="宋体"/>
                <w:color w:val="auto"/>
                <w:kern w:val="0"/>
                <w:sz w:val="20"/>
                <w:szCs w:val="20"/>
                <w:lang w:eastAsia="zh-CN"/>
              </w:rPr>
            </w:pPr>
            <w:r>
              <w:rPr>
                <w:rFonts w:hint="eastAsia" w:ascii="宋体" w:hAnsi="宋体"/>
                <w:color w:val="auto"/>
                <w:kern w:val="0"/>
                <w:sz w:val="20"/>
                <w:szCs w:val="20"/>
              </w:rPr>
              <w:t>日丰、联塑</w:t>
            </w:r>
            <w:r>
              <w:rPr>
                <w:rFonts w:hint="eastAsia" w:ascii="宋体" w:hAnsi="宋体"/>
                <w:color w:val="auto"/>
                <w:kern w:val="0"/>
                <w:sz w:val="20"/>
                <w:szCs w:val="20"/>
                <w:lang w:eastAsia="zh-CN"/>
              </w:rPr>
              <w:t>、中财、公元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31</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废水管道</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日丰、联塑</w:t>
            </w:r>
            <w:r>
              <w:rPr>
                <w:rFonts w:hint="eastAsia" w:ascii="宋体" w:hAnsi="宋体"/>
                <w:color w:val="auto"/>
                <w:kern w:val="0"/>
                <w:sz w:val="20"/>
                <w:szCs w:val="20"/>
                <w:lang w:eastAsia="zh-CN"/>
              </w:rPr>
              <w:t>、中财、公元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32</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阀门及管配件</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日丰、联塑</w:t>
            </w:r>
            <w:r>
              <w:rPr>
                <w:rFonts w:hint="eastAsia" w:ascii="宋体" w:hAnsi="宋体"/>
                <w:color w:val="auto"/>
                <w:kern w:val="0"/>
                <w:sz w:val="20"/>
                <w:szCs w:val="20"/>
                <w:lang w:eastAsia="zh-CN"/>
              </w:rPr>
              <w:t>、中财、公元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33</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pH在线控制仪</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上泰/和泰/哈希/赛高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34</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DO在线控制仪</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哈希/赛高/E+H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35</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温度在线控制仪</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天科、联测、美安特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36</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设备底座</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37</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现场控制电箱</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38</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污泥罐</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39</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污泥泵</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40</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污泥脱水机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41</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过程废气净化设备</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42</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玻璃钢风机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双城、顶裕、磐力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43</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消声器</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44</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防火阀</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45</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手动风阀</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46</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手动风阀</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47</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电动风阀</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48</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排风管</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49</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有害气体在线检测仪</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50</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爬梯及走道</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51</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电动阀</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lang w:eastAsia="zh-CN"/>
              </w:rPr>
              <w:t>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52</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PLC智能控制系统</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西门子、施耐德、松下、欧姆龙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53</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人机界面操作系统</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54</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电控柜</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55</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以太网远程控制模块</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康耐德、中科光电、华为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56</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动力电缆</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hint="eastAsia" w:ascii="宋体" w:hAnsi="宋体" w:eastAsia="宋体"/>
                <w:color w:val="auto"/>
                <w:kern w:val="0"/>
                <w:sz w:val="20"/>
                <w:szCs w:val="20"/>
                <w:lang w:eastAsia="zh-CN"/>
              </w:rPr>
            </w:pPr>
            <w:r>
              <w:rPr>
                <w:rFonts w:hint="eastAsia" w:ascii="宋体" w:hAnsi="宋体"/>
                <w:color w:val="auto"/>
                <w:kern w:val="0"/>
                <w:sz w:val="20"/>
                <w:szCs w:val="20"/>
              </w:rPr>
              <w:t>远东、</w:t>
            </w:r>
            <w:r>
              <w:rPr>
                <w:rFonts w:hint="eastAsia" w:ascii="宋体" w:hAnsi="宋体"/>
                <w:color w:val="auto"/>
                <w:kern w:val="0"/>
                <w:sz w:val="20"/>
                <w:szCs w:val="20"/>
                <w:lang w:eastAsia="zh-CN"/>
              </w:rPr>
              <w:t>上上、起帆、华美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57</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控制电线电缆</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远东、</w:t>
            </w:r>
            <w:r>
              <w:rPr>
                <w:rFonts w:hint="eastAsia" w:ascii="宋体" w:hAnsi="宋体"/>
                <w:color w:val="auto"/>
                <w:kern w:val="0"/>
                <w:sz w:val="20"/>
                <w:szCs w:val="20"/>
                <w:lang w:eastAsia="zh-CN"/>
              </w:rPr>
              <w:t>上上、起帆、华美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58</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网络摄像球机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hint="eastAsia" w:ascii="宋体" w:hAnsi="宋体" w:eastAsia="宋体"/>
                <w:color w:val="auto"/>
                <w:kern w:val="0"/>
                <w:sz w:val="20"/>
                <w:szCs w:val="20"/>
                <w:lang w:eastAsia="zh-CN"/>
              </w:rPr>
            </w:pPr>
            <w:r>
              <w:rPr>
                <w:rFonts w:hint="eastAsia" w:ascii="宋体" w:hAnsi="宋体"/>
                <w:color w:val="auto"/>
                <w:kern w:val="0"/>
                <w:sz w:val="20"/>
                <w:szCs w:val="20"/>
              </w:rPr>
              <w:t>海康威视、</w:t>
            </w:r>
            <w:r>
              <w:rPr>
                <w:rFonts w:hint="eastAsia" w:ascii="宋体" w:hAnsi="宋体"/>
                <w:color w:val="auto"/>
                <w:kern w:val="0"/>
                <w:sz w:val="20"/>
                <w:szCs w:val="20"/>
                <w:lang w:eastAsia="zh-CN"/>
              </w:rPr>
              <w:t>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59</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硬盘录像机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海康威视、</w:t>
            </w:r>
            <w:r>
              <w:rPr>
                <w:rFonts w:hint="eastAsia" w:ascii="宋体" w:hAnsi="宋体"/>
                <w:color w:val="auto"/>
                <w:kern w:val="0"/>
                <w:sz w:val="20"/>
                <w:szCs w:val="20"/>
                <w:lang w:eastAsia="zh-CN"/>
              </w:rPr>
              <w:t>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60</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空调</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美的、格力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61</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除湿机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美的、格力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62</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工控计算机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联想、惠普、戴尔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63</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打印机</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爱普生、惠普、佳能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64</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控制台</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65</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资料柜</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66</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工具柜</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67</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环境温湿度计</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太力、3</w:t>
            </w:r>
            <w:r>
              <w:rPr>
                <w:rFonts w:ascii="宋体" w:hAnsi="宋体"/>
                <w:color w:val="auto"/>
                <w:kern w:val="0"/>
                <w:sz w:val="20"/>
                <w:szCs w:val="20"/>
              </w:rPr>
              <w:t>M</w:t>
            </w:r>
            <w:r>
              <w:rPr>
                <w:rFonts w:hint="eastAsia" w:ascii="宋体" w:hAnsi="宋体"/>
                <w:color w:val="auto"/>
                <w:kern w:val="0"/>
                <w:sz w:val="20"/>
                <w:szCs w:val="20"/>
              </w:rPr>
              <w:t>、得力、德力西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68</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设备围挡</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20"/>
                <w:szCs w:val="20"/>
              </w:rPr>
            </w:pPr>
            <w:r>
              <w:rPr>
                <w:rFonts w:hint="eastAsia" w:ascii="宋体" w:hAnsi="宋体"/>
                <w:color w:val="auto"/>
                <w:kern w:val="0"/>
                <w:sz w:val="20"/>
                <w:szCs w:val="20"/>
              </w:rPr>
              <w:t>69</w:t>
            </w:r>
          </w:p>
        </w:tc>
        <w:tc>
          <w:tcPr>
            <w:tcW w:w="2992" w:type="dxa"/>
            <w:tcBorders>
              <w:top w:val="single" w:color="auto" w:sz="4" w:space="0"/>
              <w:left w:val="nil"/>
              <w:bottom w:val="single" w:color="auto" w:sz="4" w:space="0"/>
              <w:right w:val="single" w:color="auto" w:sz="4" w:space="0"/>
            </w:tcBorders>
            <w:vAlign w:val="center"/>
          </w:tcPr>
          <w:p>
            <w:pPr>
              <w:rPr>
                <w:rFonts w:ascii="宋体" w:hAnsi="宋体"/>
                <w:color w:val="auto"/>
                <w:kern w:val="0"/>
                <w:sz w:val="20"/>
                <w:szCs w:val="20"/>
              </w:rPr>
            </w:pPr>
            <w:r>
              <w:rPr>
                <w:rFonts w:hint="eastAsia" w:ascii="宋体" w:hAnsi="宋体"/>
                <w:color w:val="auto"/>
                <w:kern w:val="0"/>
                <w:sz w:val="20"/>
                <w:szCs w:val="20"/>
              </w:rPr>
              <w:t>安全设施</w:t>
            </w:r>
          </w:p>
        </w:tc>
        <w:tc>
          <w:tcPr>
            <w:tcW w:w="3397" w:type="dxa"/>
            <w:tcBorders>
              <w:top w:val="single" w:color="auto" w:sz="4" w:space="0"/>
              <w:left w:val="nil"/>
              <w:bottom w:val="single" w:color="auto" w:sz="4" w:space="0"/>
              <w:right w:val="single" w:color="auto" w:sz="4" w:space="0"/>
            </w:tcBorders>
            <w:tcMar>
              <w:left w:w="28" w:type="dxa"/>
              <w:right w:w="28" w:type="dxa"/>
            </w:tcMar>
          </w:tcPr>
          <w:p>
            <w:pPr>
              <w:jc w:val="left"/>
              <w:rPr>
                <w:rFonts w:ascii="宋体" w:hAnsi="宋体"/>
                <w:color w:val="auto"/>
                <w:kern w:val="0"/>
                <w:sz w:val="20"/>
                <w:szCs w:val="20"/>
              </w:rPr>
            </w:pPr>
            <w:r>
              <w:rPr>
                <w:rFonts w:hint="eastAsia" w:ascii="宋体" w:hAnsi="宋体"/>
                <w:color w:val="auto"/>
                <w:kern w:val="0"/>
                <w:sz w:val="20"/>
                <w:szCs w:val="20"/>
              </w:rPr>
              <w:t>非标产品按国标定制</w:t>
            </w:r>
          </w:p>
        </w:tc>
      </w:tr>
    </w:tbl>
    <w:p>
      <w:pPr>
        <w:ind w:firstLine="420" w:firstLineChars="200"/>
        <w:rPr>
          <w:rFonts w:ascii="宋体" w:hAnsi="宋体"/>
          <w:szCs w:val="21"/>
        </w:rPr>
      </w:pPr>
      <w:r>
        <w:rPr>
          <w:rFonts w:hint="eastAsia" w:ascii="宋体" w:hAnsi="宋体"/>
          <w:szCs w:val="21"/>
        </w:rPr>
        <w:t>投标人可选用采购单位建议品牌，也可选用不低于招标人建议品牌档次的品牌。经三分之二以上评委认定，投标人所报品牌档次不低于招标人建议品牌档次的，将视作有效投标，否则将作无效响应文件处理。</w:t>
      </w:r>
    </w:p>
    <w:p>
      <w:pPr>
        <w:ind w:firstLine="420" w:firstLineChars="200"/>
        <w:rPr>
          <w:rFonts w:hint="eastAsia" w:ascii="宋体" w:hAnsi="宋体"/>
          <w:szCs w:val="21"/>
        </w:rPr>
      </w:pPr>
    </w:p>
    <w:p>
      <w:pPr>
        <w:spacing w:before="100" w:after="100"/>
        <w:rPr>
          <w:rFonts w:ascii="宋体" w:hAnsi="宋体" w:cs="宋体"/>
          <w:sz w:val="24"/>
        </w:rPr>
      </w:pPr>
      <w:r>
        <w:rPr>
          <w:rFonts w:ascii="宋体" w:hAnsi="宋体" w:cs="宋体"/>
          <w:sz w:val="24"/>
        </w:rPr>
        <w:br w:type="page"/>
      </w:r>
    </w:p>
    <w:p>
      <w:pPr>
        <w:pStyle w:val="4"/>
        <w:rPr>
          <w:rFonts w:ascii="宋体" w:hAnsi="宋体"/>
          <w:color w:val="000000"/>
          <w:sz w:val="21"/>
          <w:szCs w:val="21"/>
        </w:rPr>
      </w:pPr>
      <w:bookmarkStart w:id="1" w:name="_Toc34991461"/>
      <w:bookmarkStart w:id="2" w:name="_Toc12022"/>
      <w:bookmarkStart w:id="3" w:name="_Toc231289771"/>
      <w:bookmarkStart w:id="4" w:name="_Toc231276966"/>
      <w:bookmarkStart w:id="5" w:name="_Toc231280938"/>
      <w:bookmarkStart w:id="6" w:name="_Toc231279156"/>
      <w:bookmarkStart w:id="7" w:name="_Toc231284489"/>
      <w:bookmarkStart w:id="8" w:name="_Toc231280344"/>
      <w:bookmarkStart w:id="9" w:name="_Toc231279586"/>
      <w:bookmarkStart w:id="10" w:name="_Toc231281705"/>
      <w:bookmarkStart w:id="11" w:name="_Toc231279737"/>
      <w:bookmarkStart w:id="12" w:name="_Toc231281339"/>
      <w:bookmarkStart w:id="13" w:name="_Toc231279666"/>
      <w:bookmarkStart w:id="14" w:name="_Toc231279247"/>
      <w:bookmarkStart w:id="15" w:name="_Toc231286901"/>
      <w:bookmarkStart w:id="16" w:name="_Toc231280804"/>
      <w:bookmarkStart w:id="17" w:name="_Toc231289905"/>
      <w:bookmarkStart w:id="18" w:name="_Toc231289932"/>
      <w:bookmarkStart w:id="19" w:name="_Toc231282228"/>
      <w:bookmarkStart w:id="20" w:name="_Toc231304988"/>
      <w:bookmarkStart w:id="21" w:name="_Toc231305090"/>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22" w:name="_Toc30593"/>
      <w:bookmarkStart w:id="23" w:name="_Toc34991462"/>
      <w:bookmarkStart w:id="24" w:name="_Toc231282231"/>
      <w:bookmarkStart w:id="25" w:name="_Toc231280941"/>
      <w:bookmarkStart w:id="26" w:name="_Toc231284492"/>
      <w:bookmarkStart w:id="27" w:name="_Toc231305093"/>
      <w:bookmarkStart w:id="28" w:name="_Toc231286904"/>
      <w:bookmarkStart w:id="29" w:name="_Toc231281708"/>
      <w:bookmarkStart w:id="30" w:name="_Toc231280807"/>
      <w:bookmarkStart w:id="31" w:name="_Toc231279589"/>
      <w:bookmarkStart w:id="32" w:name="_Toc231289908"/>
      <w:bookmarkStart w:id="33" w:name="_Toc231279740"/>
      <w:bookmarkStart w:id="34" w:name="_Toc231289774"/>
      <w:bookmarkStart w:id="35" w:name="_Toc231304991"/>
      <w:bookmarkStart w:id="36" w:name="_Toc231281342"/>
      <w:bookmarkStart w:id="37" w:name="_Toc231279669"/>
      <w:bookmarkStart w:id="38" w:name="_Toc407266082"/>
      <w:bookmarkStart w:id="39" w:name="_Toc231280347"/>
      <w:bookmarkStart w:id="40" w:name="_Toc231289935"/>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47" w:name="_Toc34991466"/>
      <w:bookmarkStart w:id="48" w:name="_Toc29319"/>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2"/>
      </w:pPr>
    </w:p>
    <w:p>
      <w:pPr>
        <w:pStyle w:val="2"/>
      </w:pPr>
    </w:p>
    <w:p>
      <w:pPr>
        <w:pStyle w:val="2"/>
      </w:pPr>
    </w:p>
    <w:p>
      <w:pPr>
        <w:spacing w:line="480" w:lineRule="auto"/>
        <w:jc w:val="center"/>
        <w:rPr>
          <w:rFonts w:ascii="仿宋" w:hAnsi="仿宋" w:eastAsia="仿宋"/>
          <w:b/>
          <w:position w:val="-12"/>
          <w:sz w:val="36"/>
          <w:szCs w:val="36"/>
        </w:rPr>
      </w:pPr>
      <w:r>
        <w:rPr>
          <w:rFonts w:hint="eastAsia" w:ascii="仿宋" w:hAnsi="仿宋" w:eastAsia="仿宋"/>
          <w:b/>
          <w:position w:val="-12"/>
          <w:sz w:val="36"/>
          <w:szCs w:val="36"/>
        </w:rPr>
        <w:t>承 诺 书</w:t>
      </w:r>
    </w:p>
    <w:p>
      <w:pPr>
        <w:adjustRightInd w:val="0"/>
        <w:snapToGrid w:val="0"/>
        <w:spacing w:line="400" w:lineRule="exact"/>
        <w:rPr>
          <w:rFonts w:ascii="仿宋" w:hAnsi="仿宋" w:eastAsia="仿宋"/>
          <w:b/>
          <w:sz w:val="28"/>
          <w:szCs w:val="28"/>
          <w:u w:val="single"/>
        </w:rPr>
      </w:pPr>
      <w:r>
        <w:rPr>
          <w:rFonts w:hint="eastAsia" w:ascii="仿宋" w:hAnsi="仿宋" w:eastAsia="仿宋"/>
          <w:b/>
          <w:sz w:val="28"/>
          <w:szCs w:val="28"/>
        </w:rPr>
        <w:t>致：</w:t>
      </w:r>
      <w:r>
        <w:rPr>
          <w:rFonts w:hint="eastAsia" w:ascii="仿宋" w:hAnsi="仿宋" w:eastAsia="仿宋"/>
          <w:b/>
          <w:sz w:val="28"/>
          <w:szCs w:val="28"/>
          <w:u w:val="single"/>
        </w:rPr>
        <w:t xml:space="preserve">                                  </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我单位完全响应并认可本项目招标文件的全部内容，没有任何异议。本企业使作下列郑重承诺：</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一、我公司严格执行国家，当地政府部门及总承包单位的法规、政策及规章制度，依法进行施工分包和用工管理，不搞挂靠和接受挂靠，不使用小包工队伍和未培训的社会闲散人员。</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二、我公司使用劳务工人，保证做到先培训，后上岗，持证率达到100％。</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三、我公司使用建筑劳务工，依法与劳动者本人签订书面劳动合同签订率100%，明确双方的权利和义务，详细约定劳动作业的内容、计价方法、支付劳动工资的时间和发生违约后各自应承担的责任，并经双方签字（章）认可。</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四、我公司严格按照劳动合同约定向劳动工人发放劳动工资，不管在任何情况下，绝不拖欠劳务工工资，每次发放工资经劳动者本人签字。</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五、我公司接受总承包方的监督与管理。执行总包方劳务用工和工资支付的相关规定，按时足额缴纳劳务工人保障基金，在总包项目经理部的直接监督管理下，做好劳务工工资支付工作。并按照总包方的要求，按时报送工资支付情况统计表。</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六、在有条件的地区，委托总包方在银行开设“劳务工工资专户”，建立工资卡，将工资直接打入劳务工个人卡中，并接受总包方对“工资专户”资金使用情况的监督管理。</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七、我公司发生资金矛盾时，无条件先行支付劳务工工资。</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八、我公司拖欠劳务工工资，且处置不当导致引起工人上访，造成不良影响的，除对相关责任人作出严肃处理外，愿根据分包合同约定，接受终止分包合同的处理。</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九、我公司成立劳务工工资支付纠纷处理领导小组，法定代表人及其项目经理分别是处置工资纠纷在企业和项目的第一责任人，并有专人负责此项工作，保证把纠纷化解在本企业，决不以任何借口进行推诿，拖延。一旦发生上访事件，企业及时向地方政府汇报，主动靠上去做工作，争取最大限度化解矛盾，减少负面影响。</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十、我公司在每个建筑工地张贴建筑劳务工人工作纠纷处置告示，公布劳务工工作管理制度，发生纠纷的处理程序，我公司和项目部负责处理纠纷的人员姓名、电话和地点。热情接待、认真处理好每起工资纠纷。</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十一、我公司严格遵守总包方安全管理规章制度，履行安全生产协议，做好劳务工人进驻前安全教育培训工作，接受总包方安全生产监督检查并承担相应的责任。</w:t>
      </w:r>
    </w:p>
    <w:p>
      <w:pPr>
        <w:adjustRightInd w:val="0"/>
        <w:snapToGrid w:val="0"/>
        <w:spacing w:line="400" w:lineRule="exact"/>
        <w:ind w:firstLine="560" w:firstLineChars="200"/>
        <w:rPr>
          <w:rFonts w:ascii="仿宋" w:hAnsi="仿宋" w:eastAsia="仿宋"/>
          <w:sz w:val="28"/>
          <w:szCs w:val="28"/>
        </w:rPr>
      </w:pPr>
    </w:p>
    <w:p>
      <w:pPr>
        <w:adjustRightInd w:val="0"/>
        <w:snapToGrid w:val="0"/>
        <w:spacing w:line="400" w:lineRule="exact"/>
        <w:ind w:firstLine="5320" w:firstLineChars="1900"/>
        <w:rPr>
          <w:rFonts w:ascii="仿宋" w:hAnsi="仿宋" w:eastAsia="仿宋"/>
          <w:sz w:val="28"/>
          <w:szCs w:val="28"/>
        </w:rPr>
      </w:pPr>
    </w:p>
    <w:p>
      <w:pPr>
        <w:adjustRightInd w:val="0"/>
        <w:snapToGrid w:val="0"/>
        <w:spacing w:line="400" w:lineRule="exact"/>
        <w:ind w:firstLine="5320" w:firstLineChars="1900"/>
        <w:rPr>
          <w:rFonts w:ascii="仿宋" w:hAnsi="仿宋" w:eastAsia="仿宋"/>
          <w:sz w:val="28"/>
          <w:szCs w:val="28"/>
        </w:rPr>
      </w:pPr>
    </w:p>
    <w:p>
      <w:pPr>
        <w:adjustRightInd w:val="0"/>
        <w:snapToGrid w:val="0"/>
        <w:spacing w:line="400" w:lineRule="exact"/>
        <w:ind w:firstLine="5320" w:firstLineChars="1900"/>
        <w:rPr>
          <w:rFonts w:ascii="仿宋" w:hAnsi="仿宋" w:eastAsia="仿宋"/>
          <w:sz w:val="28"/>
          <w:szCs w:val="28"/>
        </w:rPr>
      </w:pP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 xml:space="preserve">投标单位（盖章）：             </w:t>
      </w:r>
    </w:p>
    <w:p>
      <w:pPr>
        <w:adjustRightInd w:val="0"/>
        <w:snapToGrid w:val="0"/>
        <w:spacing w:line="400" w:lineRule="exact"/>
        <w:ind w:firstLine="600"/>
        <w:rPr>
          <w:rFonts w:ascii="仿宋" w:hAnsi="仿宋" w:eastAsia="仿宋"/>
          <w:b/>
          <w:bCs/>
          <w:sz w:val="28"/>
          <w:szCs w:val="28"/>
        </w:rPr>
      </w:pP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法定代表人（委托人）：</w:t>
      </w:r>
    </w:p>
    <w:p>
      <w:pPr>
        <w:adjustRightInd w:val="0"/>
        <w:snapToGrid w:val="0"/>
        <w:spacing w:line="400" w:lineRule="exact"/>
        <w:ind w:firstLine="600"/>
        <w:rPr>
          <w:rFonts w:ascii="仿宋" w:hAnsi="仿宋" w:eastAsia="仿宋"/>
          <w:b/>
          <w:bCs/>
          <w:sz w:val="28"/>
          <w:szCs w:val="28"/>
        </w:rPr>
      </w:pP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 xml:space="preserve">联系地址：                 </w:t>
      </w:r>
    </w:p>
    <w:p>
      <w:pPr>
        <w:adjustRightInd w:val="0"/>
        <w:snapToGrid w:val="0"/>
        <w:spacing w:line="400" w:lineRule="exact"/>
        <w:rPr>
          <w:rFonts w:ascii="仿宋" w:hAnsi="仿宋" w:eastAsia="仿宋"/>
          <w:b/>
          <w:bCs/>
          <w:sz w:val="28"/>
          <w:szCs w:val="28"/>
        </w:rPr>
      </w:pPr>
      <w:r>
        <w:rPr>
          <w:rFonts w:hint="eastAsia" w:ascii="仿宋" w:hAnsi="仿宋" w:eastAsia="仿宋"/>
          <w:b/>
          <w:bCs/>
          <w:sz w:val="28"/>
          <w:szCs w:val="28"/>
        </w:rPr>
        <w:t xml:space="preserve">                                  </w:t>
      </w:r>
    </w:p>
    <w:p>
      <w:pPr>
        <w:adjustRightInd w:val="0"/>
        <w:snapToGrid w:val="0"/>
        <w:spacing w:line="400" w:lineRule="exact"/>
        <w:ind w:firstLine="3654" w:firstLineChars="1300"/>
        <w:rPr>
          <w:rFonts w:ascii="仿宋" w:hAnsi="仿宋" w:eastAsia="仿宋"/>
          <w:b/>
          <w:bCs/>
          <w:sz w:val="28"/>
          <w:szCs w:val="28"/>
        </w:rPr>
      </w:pPr>
      <w:r>
        <w:rPr>
          <w:rFonts w:hint="eastAsia" w:ascii="仿宋" w:hAnsi="仿宋" w:eastAsia="仿宋"/>
          <w:b/>
          <w:bCs/>
          <w:sz w:val="28"/>
          <w:szCs w:val="28"/>
        </w:rPr>
        <w:t xml:space="preserve">电    话：   </w:t>
      </w:r>
    </w:p>
    <w:p>
      <w:pPr>
        <w:adjustRightInd w:val="0"/>
        <w:snapToGrid w:val="0"/>
        <w:spacing w:line="400" w:lineRule="exact"/>
        <w:ind w:firstLine="600"/>
        <w:rPr>
          <w:rFonts w:ascii="仿宋" w:hAnsi="仿宋" w:eastAsia="仿宋"/>
          <w:b/>
          <w:bCs/>
          <w:sz w:val="28"/>
          <w:szCs w:val="28"/>
        </w:rPr>
      </w:pPr>
    </w:p>
    <w:p>
      <w:pPr>
        <w:adjustRightInd w:val="0"/>
        <w:snapToGrid w:val="0"/>
        <w:spacing w:line="400" w:lineRule="exact"/>
        <w:ind w:firstLine="3654" w:firstLineChars="1300"/>
        <w:rPr>
          <w:rFonts w:ascii="仿宋" w:hAnsi="仿宋" w:eastAsia="仿宋"/>
          <w:sz w:val="28"/>
          <w:szCs w:val="28"/>
        </w:rPr>
      </w:pPr>
      <w:r>
        <w:rPr>
          <w:rFonts w:hint="eastAsia" w:ascii="仿宋" w:hAnsi="仿宋" w:eastAsia="仿宋"/>
          <w:b/>
          <w:bCs/>
          <w:sz w:val="28"/>
          <w:szCs w:val="28"/>
        </w:rPr>
        <w:t>日    期：     年     月    日</w:t>
      </w:r>
    </w:p>
    <w:p>
      <w:bookmarkStart w:id="53" w:name="_Toc17875487"/>
    </w:p>
    <w:p/>
    <w:p/>
    <w:p/>
    <w:p/>
    <w:p/>
    <w:p/>
    <w:p/>
    <w:p/>
    <w:p/>
    <w:p/>
    <w:p/>
    <w:p/>
    <w:p/>
    <w:p/>
    <w:p/>
    <w:p/>
    <w:p/>
    <w:p/>
    <w:p/>
    <w:p/>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53"/>
    <w:p>
      <w:pPr>
        <w:spacing w:line="360" w:lineRule="auto"/>
        <w:rPr>
          <w:sz w:val="24"/>
        </w:rPr>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2366BFC"/>
    <w:rsid w:val="02C34648"/>
    <w:rsid w:val="034706E5"/>
    <w:rsid w:val="051605BC"/>
    <w:rsid w:val="06A420ED"/>
    <w:rsid w:val="078556D9"/>
    <w:rsid w:val="07D41536"/>
    <w:rsid w:val="08CD3F71"/>
    <w:rsid w:val="09EE765E"/>
    <w:rsid w:val="0A833281"/>
    <w:rsid w:val="0D2D7BF7"/>
    <w:rsid w:val="0DBB5368"/>
    <w:rsid w:val="0F315D59"/>
    <w:rsid w:val="0FB86E64"/>
    <w:rsid w:val="0FD23F5F"/>
    <w:rsid w:val="101C0C30"/>
    <w:rsid w:val="10A34788"/>
    <w:rsid w:val="13841069"/>
    <w:rsid w:val="145566DF"/>
    <w:rsid w:val="1457547C"/>
    <w:rsid w:val="14C63838"/>
    <w:rsid w:val="152F7E36"/>
    <w:rsid w:val="156D0294"/>
    <w:rsid w:val="174E5C33"/>
    <w:rsid w:val="17D14778"/>
    <w:rsid w:val="18465780"/>
    <w:rsid w:val="19344D78"/>
    <w:rsid w:val="1A193F3B"/>
    <w:rsid w:val="1AB23575"/>
    <w:rsid w:val="1B2E70E8"/>
    <w:rsid w:val="1C0466A8"/>
    <w:rsid w:val="1C364BBA"/>
    <w:rsid w:val="1CA476F7"/>
    <w:rsid w:val="1CFC4FCF"/>
    <w:rsid w:val="1D7D3B03"/>
    <w:rsid w:val="207F2647"/>
    <w:rsid w:val="22C97E48"/>
    <w:rsid w:val="23B762FF"/>
    <w:rsid w:val="24066C35"/>
    <w:rsid w:val="252F7C57"/>
    <w:rsid w:val="27202030"/>
    <w:rsid w:val="27397933"/>
    <w:rsid w:val="29552D45"/>
    <w:rsid w:val="2C627C4F"/>
    <w:rsid w:val="2C773E2D"/>
    <w:rsid w:val="2D2B3EDE"/>
    <w:rsid w:val="2E832474"/>
    <w:rsid w:val="32596A25"/>
    <w:rsid w:val="342F3A6A"/>
    <w:rsid w:val="35F966E1"/>
    <w:rsid w:val="364E7665"/>
    <w:rsid w:val="36D601E8"/>
    <w:rsid w:val="371C5AC4"/>
    <w:rsid w:val="389D2E5E"/>
    <w:rsid w:val="38E8560F"/>
    <w:rsid w:val="3B00217F"/>
    <w:rsid w:val="3B5211DC"/>
    <w:rsid w:val="3C340801"/>
    <w:rsid w:val="3D9267FC"/>
    <w:rsid w:val="3ECF32FA"/>
    <w:rsid w:val="4198777F"/>
    <w:rsid w:val="43654233"/>
    <w:rsid w:val="44B07A08"/>
    <w:rsid w:val="45BB5620"/>
    <w:rsid w:val="46363230"/>
    <w:rsid w:val="46FD1054"/>
    <w:rsid w:val="47BB194D"/>
    <w:rsid w:val="485A31EE"/>
    <w:rsid w:val="490258E8"/>
    <w:rsid w:val="49342513"/>
    <w:rsid w:val="4C516396"/>
    <w:rsid w:val="4DBE70C8"/>
    <w:rsid w:val="4F566AB1"/>
    <w:rsid w:val="4FEB4DF1"/>
    <w:rsid w:val="513D7296"/>
    <w:rsid w:val="520B348B"/>
    <w:rsid w:val="52464F50"/>
    <w:rsid w:val="529275A5"/>
    <w:rsid w:val="52C553E8"/>
    <w:rsid w:val="57C46052"/>
    <w:rsid w:val="5A4C3E5A"/>
    <w:rsid w:val="5B4E3863"/>
    <w:rsid w:val="5CEA1B7D"/>
    <w:rsid w:val="5D8C3A2F"/>
    <w:rsid w:val="5E9474D3"/>
    <w:rsid w:val="5F230066"/>
    <w:rsid w:val="616B0426"/>
    <w:rsid w:val="61B91426"/>
    <w:rsid w:val="62126170"/>
    <w:rsid w:val="62B03E2D"/>
    <w:rsid w:val="65DB3287"/>
    <w:rsid w:val="66093965"/>
    <w:rsid w:val="67784E22"/>
    <w:rsid w:val="68FA0664"/>
    <w:rsid w:val="6BC1223C"/>
    <w:rsid w:val="6BE33FA7"/>
    <w:rsid w:val="6C6178D9"/>
    <w:rsid w:val="70B34FC2"/>
    <w:rsid w:val="73CC7AC9"/>
    <w:rsid w:val="747554DC"/>
    <w:rsid w:val="7548217D"/>
    <w:rsid w:val="75B94E29"/>
    <w:rsid w:val="77C16289"/>
    <w:rsid w:val="77C819C8"/>
    <w:rsid w:val="78930A25"/>
    <w:rsid w:val="7A835A7B"/>
    <w:rsid w:val="7A9018C8"/>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6"/>
    <w:unhideWhenUsed/>
    <w:qFormat/>
    <w:uiPriority w:val="99"/>
    <w:pPr>
      <w:jc w:val="left"/>
    </w:pPr>
    <w:rPr>
      <w:szCs w:val="21"/>
    </w:rPr>
  </w:style>
  <w:style w:type="paragraph" w:styleId="8">
    <w:name w:val="Body Text"/>
    <w:basedOn w:val="1"/>
    <w:link w:val="21"/>
    <w:qFormat/>
    <w:uiPriority w:val="0"/>
    <w:pPr>
      <w:snapToGrid w:val="0"/>
      <w:spacing w:before="120" w:after="120" w:line="360" w:lineRule="auto"/>
    </w:pPr>
    <w:rPr>
      <w:rFonts w:ascii="宋体" w:hAnsi="宋体"/>
      <w:sz w:val="24"/>
      <w:szCs w:val="20"/>
    </w:rPr>
  </w:style>
  <w:style w:type="paragraph" w:styleId="9">
    <w:name w:val="Plain Text"/>
    <w:basedOn w:val="1"/>
    <w:link w:val="22"/>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unhideWhenUsed/>
    <w:qFormat/>
    <w:uiPriority w:val="99"/>
    <w:rPr>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8"/>
    <w:qFormat/>
    <w:uiPriority w:val="0"/>
    <w:rPr>
      <w:rFonts w:ascii="宋体" w:hAnsi="宋体"/>
      <w:kern w:val="2"/>
      <w:sz w:val="24"/>
    </w:rPr>
  </w:style>
  <w:style w:type="character" w:customStyle="1" w:styleId="22">
    <w:name w:val="纯文本 字符"/>
    <w:link w:val="9"/>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5"/>
    <w:link w:val="7"/>
    <w:qFormat/>
    <w:uiPriority w:val="99"/>
    <w:rPr>
      <w:kern w:val="2"/>
      <w:sz w:val="21"/>
      <w:szCs w:val="21"/>
    </w:rPr>
  </w:style>
  <w:style w:type="character" w:customStyle="1" w:styleId="27">
    <w:name w:val="15"/>
    <w:basedOn w:val="15"/>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16237</Words>
  <Characters>17822</Characters>
  <Lines>134</Lines>
  <Paragraphs>37</Paragraphs>
  <TotalTime>134</TotalTime>
  <ScaleCrop>false</ScaleCrop>
  <LinksUpToDate>false</LinksUpToDate>
  <CharactersWithSpaces>18714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2023-03-29T09:22:44Z</cp:lastPrinted>
  <dcterms:modified xsi:type="dcterms:W3CDTF">2023-03-29T09:46:57Z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668F5D8F354C406D997C33BFBEC65876</vt:lpwstr>
  </property>
</Properties>
</file>