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pPr>
        <w:spacing w:line="500" w:lineRule="exact"/>
        <w:jc w:val="center"/>
        <w:rPr>
          <w:rFonts w:ascii="黑体" w:hAnsi="黑体" w:eastAsia="黑体" w:cs="黑体"/>
          <w:b/>
          <w:bCs/>
          <w:sz w:val="48"/>
          <w:szCs w:val="48"/>
        </w:rPr>
      </w:pPr>
    </w:p>
    <w:p>
      <w:pPr>
        <w:pStyle w:val="2"/>
      </w:pPr>
    </w:p>
    <w:p>
      <w:pPr>
        <w:spacing w:line="500" w:lineRule="exact"/>
        <w:jc w:val="center"/>
        <w:rPr>
          <w:rFonts w:ascii="黑体" w:hAnsi="黑体" w:eastAsia="黑体" w:cs="黑体"/>
          <w:b/>
          <w:bCs/>
          <w:sz w:val="48"/>
          <w:szCs w:val="48"/>
        </w:rPr>
      </w:pPr>
    </w:p>
    <w:p>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南通理工学院招标文件</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jc w:val="center"/>
        <w:rPr>
          <w:rFonts w:ascii="宋体" w:hAnsi="宋体" w:cs="宋体"/>
          <w:sz w:val="24"/>
          <w:szCs w:val="24"/>
        </w:rPr>
      </w:pPr>
    </w:p>
    <w:p>
      <w:pPr>
        <w:jc w:val="center"/>
        <w:rPr>
          <w:rFonts w:ascii="宋体" w:hAnsi="宋体" w:cs="宋体"/>
          <w:sz w:val="24"/>
        </w:rPr>
      </w:pPr>
    </w:p>
    <w:p>
      <w:pPr>
        <w:jc w:val="center"/>
        <w:rPr>
          <w:rFonts w:ascii="宋体" w:hAnsi="宋体" w:cs="宋体"/>
          <w:sz w:val="24"/>
        </w:rPr>
      </w:pPr>
    </w:p>
    <w:p>
      <w:pPr>
        <w:rPr>
          <w:szCs w:val="21"/>
        </w:rPr>
      </w:pPr>
      <w:r>
        <w:rPr>
          <w:rFonts w:hint="eastAsia" w:ascii="宋体" w:hAnsi="宋体" w:cs="宋体"/>
          <w:b/>
          <w:bCs/>
          <w:sz w:val="32"/>
          <w:szCs w:val="32"/>
        </w:rPr>
        <w:t xml:space="preserve">   项目名称：</w:t>
      </w:r>
      <w:r>
        <w:rPr>
          <w:rFonts w:hint="eastAsia"/>
          <w:b/>
          <w:bCs/>
          <w:sz w:val="32"/>
          <w:szCs w:val="32"/>
          <w:lang w:val="en-US" w:eastAsia="zh-CN"/>
        </w:rPr>
        <w:t>健康医学院教学楼</w:t>
      </w:r>
      <w:r>
        <w:rPr>
          <w:rFonts w:hint="eastAsia"/>
          <w:b/>
          <w:bCs/>
          <w:sz w:val="32"/>
          <w:szCs w:val="32"/>
        </w:rPr>
        <w:t>废气处理设备采购项目</w:t>
      </w:r>
    </w:p>
    <w:p>
      <w:pPr>
        <w:rPr>
          <w:rFonts w:ascii="宋体" w:hAnsi="宋体" w:cs="宋体"/>
          <w:b/>
          <w:bCs/>
          <w:sz w:val="32"/>
          <w:szCs w:val="32"/>
        </w:rPr>
      </w:pPr>
      <w:r>
        <w:rPr>
          <w:rFonts w:hint="eastAsia" w:ascii="宋体" w:hAnsi="宋体" w:cs="宋体"/>
          <w:b/>
          <w:bCs/>
          <w:sz w:val="32"/>
          <w:szCs w:val="32"/>
        </w:rPr>
        <w:t xml:space="preserve">  </w:t>
      </w:r>
    </w:p>
    <w:p>
      <w:pPr>
        <w:jc w:val="center"/>
        <w:rPr>
          <w:b/>
          <w:bCs/>
          <w:sz w:val="24"/>
          <w:highlight w:val="none"/>
        </w:rPr>
      </w:pPr>
      <w:r>
        <w:rPr>
          <w:rFonts w:hint="eastAsia"/>
          <w:b/>
          <w:bCs/>
          <w:sz w:val="24"/>
          <w:highlight w:val="none"/>
        </w:rPr>
        <w:t>（项目编号：ZJ202</w:t>
      </w:r>
      <w:r>
        <w:rPr>
          <w:b/>
          <w:bCs/>
          <w:sz w:val="24"/>
          <w:highlight w:val="none"/>
        </w:rPr>
        <w:t>3</w:t>
      </w:r>
      <w:r>
        <w:rPr>
          <w:rFonts w:hint="eastAsia"/>
          <w:b/>
          <w:bCs/>
          <w:sz w:val="24"/>
          <w:highlight w:val="none"/>
        </w:rPr>
        <w:t>0</w:t>
      </w:r>
      <w:r>
        <w:rPr>
          <w:rFonts w:hint="eastAsia"/>
          <w:b/>
          <w:bCs/>
          <w:sz w:val="24"/>
          <w:highlight w:val="none"/>
          <w:lang w:val="en-US" w:eastAsia="zh-CN"/>
        </w:rPr>
        <w:t>3</w:t>
      </w:r>
      <w:r>
        <w:rPr>
          <w:rFonts w:hint="eastAsia"/>
          <w:b/>
          <w:bCs/>
          <w:sz w:val="24"/>
          <w:highlight w:val="none"/>
        </w:rPr>
        <w:t>066）</w:t>
      </w:r>
    </w:p>
    <w:p>
      <w:pPr>
        <w:spacing w:line="360" w:lineRule="auto"/>
        <w:jc w:val="both"/>
        <w:rPr>
          <w:rFonts w:hint="eastAsia" w:asciiTheme="majorEastAsia" w:hAnsiTheme="majorEastAsia" w:eastAsiaTheme="majorEastAsia" w:cstheme="majorEastAsia"/>
          <w:b/>
          <w:bCs/>
          <w:sz w:val="32"/>
          <w:szCs w:val="32"/>
          <w:highlight w:val="none"/>
        </w:rPr>
      </w:pPr>
    </w:p>
    <w:p>
      <w:pPr>
        <w:spacing w:line="360" w:lineRule="auto"/>
        <w:jc w:val="center"/>
        <w:rPr>
          <w:rFonts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招标日期：202</w:t>
      </w:r>
      <w:r>
        <w:rPr>
          <w:rFonts w:asciiTheme="majorEastAsia" w:hAnsiTheme="majorEastAsia" w:eastAsiaTheme="majorEastAsia" w:cstheme="majorEastAsia"/>
          <w:b/>
          <w:bCs/>
          <w:sz w:val="32"/>
          <w:szCs w:val="32"/>
          <w:highlight w:val="none"/>
        </w:rPr>
        <w:t>3</w:t>
      </w:r>
      <w:r>
        <w:rPr>
          <w:rFonts w:hint="eastAsia" w:asciiTheme="majorEastAsia" w:hAnsiTheme="majorEastAsia" w:eastAsiaTheme="majorEastAsia" w:cstheme="majorEastAsia"/>
          <w:b/>
          <w:bCs/>
          <w:sz w:val="32"/>
          <w:szCs w:val="32"/>
          <w:highlight w:val="none"/>
        </w:rPr>
        <w:t xml:space="preserve"> 年 </w:t>
      </w:r>
      <w:r>
        <w:rPr>
          <w:rFonts w:asciiTheme="majorEastAsia" w:hAnsiTheme="majorEastAsia" w:eastAsiaTheme="majorEastAsia" w:cstheme="majorEastAsia"/>
          <w:b/>
          <w:bCs/>
          <w:sz w:val="32"/>
          <w:szCs w:val="32"/>
          <w:highlight w:val="none"/>
        </w:rPr>
        <w:t>03</w:t>
      </w:r>
      <w:r>
        <w:rPr>
          <w:rFonts w:hint="eastAsia" w:asciiTheme="majorEastAsia" w:hAnsiTheme="majorEastAsia" w:eastAsiaTheme="majorEastAsia" w:cstheme="majorEastAsia"/>
          <w:b/>
          <w:bCs/>
          <w:sz w:val="32"/>
          <w:szCs w:val="32"/>
          <w:highlight w:val="none"/>
        </w:rPr>
        <w:t>月</w:t>
      </w:r>
      <w:r>
        <w:rPr>
          <w:rFonts w:hint="eastAsia" w:asciiTheme="majorEastAsia" w:hAnsiTheme="majorEastAsia" w:eastAsiaTheme="majorEastAsia" w:cstheme="majorEastAsia"/>
          <w:b/>
          <w:bCs/>
          <w:sz w:val="32"/>
          <w:szCs w:val="32"/>
          <w:highlight w:val="none"/>
          <w:lang w:val="en-US" w:eastAsia="zh-CN"/>
        </w:rPr>
        <w:t>29</w:t>
      </w:r>
      <w:r>
        <w:rPr>
          <w:rFonts w:hint="eastAsia" w:asciiTheme="majorEastAsia" w:hAnsiTheme="majorEastAsia" w:eastAsiaTheme="majorEastAsia" w:cstheme="majorEastAsia"/>
          <w:b/>
          <w:bCs/>
          <w:sz w:val="32"/>
          <w:szCs w:val="32"/>
          <w:highlight w:val="none"/>
        </w:rPr>
        <w:t>日</w:t>
      </w:r>
    </w:p>
    <w:p>
      <w:pPr>
        <w:spacing w:line="440" w:lineRule="exact"/>
        <w:jc w:val="center"/>
        <w:rPr>
          <w:rFonts w:ascii="宋体" w:hAnsi="宋体"/>
          <w:b/>
          <w:bCs/>
          <w:sz w:val="30"/>
          <w:szCs w:val="30"/>
        </w:rPr>
      </w:pPr>
    </w:p>
    <w:p>
      <w:pPr>
        <w:spacing w:line="760" w:lineRule="exact"/>
        <w:jc w:val="center"/>
        <w:rPr>
          <w:rFonts w:ascii="宋体" w:hAnsi="宋体" w:cs="宋体"/>
          <w:sz w:val="44"/>
          <w:szCs w:val="44"/>
        </w:rPr>
      </w:pPr>
      <w:r>
        <w:rPr>
          <w:rFonts w:ascii="宋体" w:hAnsi="宋体"/>
          <w:b/>
          <w:bCs/>
          <w:sz w:val="30"/>
          <w:szCs w:val="30"/>
        </w:rPr>
        <w:br w:type="page"/>
      </w:r>
      <w:r>
        <w:rPr>
          <w:rFonts w:hint="eastAsia" w:ascii="宋体" w:hAnsi="宋体"/>
          <w:b/>
          <w:bCs/>
          <w:sz w:val="30"/>
          <w:szCs w:val="30"/>
        </w:rPr>
        <w:t>招标公告</w:t>
      </w:r>
    </w:p>
    <w:p>
      <w:pPr>
        <w:spacing w:line="400" w:lineRule="exact"/>
        <w:ind w:firstLine="560" w:firstLineChars="200"/>
        <w:rPr>
          <w:rFonts w:ascii="仿宋" w:hAnsi="仿宋" w:eastAsia="仿宋" w:cs="仿宋"/>
          <w:sz w:val="28"/>
          <w:szCs w:val="28"/>
        </w:rPr>
      </w:pPr>
    </w:p>
    <w:p>
      <w:pPr>
        <w:ind w:firstLine="480" w:firstLineChars="200"/>
        <w:rPr>
          <w:rFonts w:ascii="仿宋" w:hAnsi="仿宋" w:eastAsia="仿宋" w:cs="仿宋"/>
          <w:sz w:val="24"/>
        </w:rPr>
      </w:pPr>
      <w:r>
        <w:rPr>
          <w:rFonts w:hint="eastAsia" w:ascii="仿宋" w:hAnsi="仿宋" w:eastAsia="仿宋" w:cs="仿宋"/>
          <w:sz w:val="24"/>
        </w:rPr>
        <w:t>根据国家采购与招投标法律法规的有关规定，南通理工学院对</w:t>
      </w:r>
      <w:r>
        <w:rPr>
          <w:rFonts w:hint="eastAsia" w:ascii="仿宋" w:hAnsi="仿宋" w:eastAsia="仿宋" w:cs="仿宋"/>
          <w:sz w:val="24"/>
          <w:lang w:val="en-US" w:eastAsia="zh-CN"/>
        </w:rPr>
        <w:t>健康医学院教学楼</w:t>
      </w:r>
      <w:r>
        <w:rPr>
          <w:rFonts w:hint="eastAsia" w:ascii="仿宋" w:hAnsi="仿宋" w:eastAsia="仿宋" w:cs="仿宋"/>
          <w:sz w:val="24"/>
        </w:rPr>
        <w:t>废气处理设备采购项目进行公开招标，欢迎具备相应资质和实力的投标单位参加投标。现将有关事项公告如下：</w:t>
      </w:r>
    </w:p>
    <w:p>
      <w:pPr>
        <w:spacing w:line="360" w:lineRule="exact"/>
        <w:ind w:left="10" w:firstLine="542" w:firstLineChars="225"/>
        <w:rPr>
          <w:rFonts w:ascii="仿宋" w:hAnsi="仿宋" w:eastAsia="仿宋" w:cs="仿宋"/>
          <w:b/>
          <w:bCs/>
          <w:sz w:val="24"/>
        </w:rPr>
      </w:pPr>
      <w:r>
        <w:rPr>
          <w:rFonts w:hint="eastAsia" w:ascii="仿宋" w:hAnsi="仿宋" w:eastAsia="仿宋" w:cs="仿宋"/>
          <w:b/>
          <w:bCs/>
          <w:sz w:val="24"/>
        </w:rPr>
        <w:t>一、招标内容：</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1、项目名称：南通理工学院医学实验楼废气处理设备采购项目。</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2、招标内容：详见</w:t>
      </w:r>
      <w:r>
        <w:rPr>
          <w:rFonts w:hint="eastAsia" w:ascii="仿宋" w:hAnsi="仿宋" w:eastAsia="仿宋" w:cs="仿宋"/>
          <w:sz w:val="24"/>
          <w:lang w:eastAsia="zh-CN"/>
        </w:rPr>
        <w:t>报价清单表</w:t>
      </w:r>
      <w:r>
        <w:rPr>
          <w:rFonts w:hint="eastAsia" w:ascii="仿宋" w:hAnsi="仿宋" w:eastAsia="仿宋" w:cs="仿宋"/>
          <w:sz w:val="24"/>
        </w:rPr>
        <w:t>。</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3、项目概况：该项目位于南通理工学院南通校区。</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4、工期要求：</w:t>
      </w:r>
      <w:r>
        <w:rPr>
          <w:rFonts w:hint="eastAsia" w:ascii="仿宋" w:hAnsi="仿宋" w:eastAsia="仿宋" w:cs="仿宋"/>
          <w:sz w:val="24"/>
          <w:highlight w:val="none"/>
        </w:rPr>
        <w:t>202</w:t>
      </w:r>
      <w:r>
        <w:rPr>
          <w:rFonts w:ascii="仿宋" w:hAnsi="仿宋" w:eastAsia="仿宋" w:cs="仿宋"/>
          <w:sz w:val="24"/>
          <w:highlight w:val="none"/>
        </w:rPr>
        <w:t>3</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月</w:t>
      </w:r>
      <w:r>
        <w:rPr>
          <w:rFonts w:hint="eastAsia" w:ascii="仿宋" w:hAnsi="仿宋" w:eastAsia="仿宋" w:cs="仿宋"/>
          <w:sz w:val="24"/>
          <w:highlight w:val="none"/>
          <w:lang w:eastAsia="zh-CN"/>
        </w:rPr>
        <w:t>初</w:t>
      </w:r>
      <w:r>
        <w:rPr>
          <w:rFonts w:hint="eastAsia" w:ascii="仿宋" w:hAnsi="仿宋" w:eastAsia="仿宋" w:cs="仿宋"/>
          <w:sz w:val="24"/>
          <w:highlight w:val="none"/>
        </w:rPr>
        <w:t>进场，2023年</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月底安装完成。</w:t>
      </w:r>
    </w:p>
    <w:p>
      <w:pPr>
        <w:spacing w:line="400" w:lineRule="exact"/>
        <w:ind w:firstLine="549" w:firstLineChars="228"/>
        <w:rPr>
          <w:rFonts w:ascii="仿宋" w:hAnsi="仿宋" w:eastAsia="仿宋" w:cs="仿宋"/>
          <w:b/>
          <w:bCs/>
          <w:sz w:val="24"/>
        </w:rPr>
      </w:pPr>
      <w:r>
        <w:rPr>
          <w:rFonts w:hint="eastAsia" w:ascii="仿宋" w:hAnsi="仿宋" w:eastAsia="仿宋" w:cs="仿宋"/>
          <w:b/>
          <w:bCs/>
          <w:sz w:val="24"/>
        </w:rPr>
        <w:t>二、投标人资格要求</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参加本次招标活动的供应商除应当符合《中华人民共和国政府采购法》第二十二条的规定外，还必须具备以下条件：</w:t>
      </w:r>
    </w:p>
    <w:p>
      <w:pPr>
        <w:spacing w:line="360" w:lineRule="exact"/>
        <w:ind w:left="-1"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、具有独立承担民事责任的能力，提供法人或其他组织的营业执照等证明文件，复印件加盖公章。</w:t>
      </w:r>
    </w:p>
    <w:p>
      <w:pPr>
        <w:spacing w:line="360" w:lineRule="exact"/>
        <w:ind w:left="-1"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w:t>
      </w:r>
      <w:r>
        <w:rPr>
          <w:rFonts w:hint="eastAsia" w:ascii="仿宋" w:hAnsi="仿宋" w:eastAsia="仿宋" w:cs="仿宋"/>
          <w:sz w:val="24"/>
          <w:lang w:eastAsia="zh-CN"/>
        </w:rPr>
        <w:t>法定代表人</w:t>
      </w:r>
      <w:r>
        <w:rPr>
          <w:rFonts w:hint="eastAsia" w:ascii="仿宋" w:hAnsi="仿宋" w:eastAsia="仿宋" w:cs="仿宋"/>
          <w:sz w:val="24"/>
        </w:rPr>
        <w:t>授权书（原件）及法定代表人、授权代表身份证复印件</w:t>
      </w:r>
      <w:r>
        <w:rPr>
          <w:rFonts w:hint="eastAsia" w:ascii="仿宋" w:hAnsi="仿宋" w:eastAsia="仿宋" w:cs="仿宋"/>
          <w:sz w:val="24"/>
          <w:lang w:eastAsia="zh-CN"/>
        </w:rPr>
        <w:t>（</w:t>
      </w:r>
      <w:r>
        <w:rPr>
          <w:rFonts w:hint="eastAsia" w:ascii="仿宋" w:hAnsi="仿宋" w:eastAsia="仿宋" w:cs="仿宋"/>
          <w:sz w:val="24"/>
        </w:rPr>
        <w:t>如果是法定代表人直接参与投标的可以不提供授权书</w:t>
      </w:r>
      <w:r>
        <w:rPr>
          <w:rFonts w:hint="eastAsia" w:ascii="仿宋" w:hAnsi="仿宋" w:eastAsia="仿宋" w:cs="仿宋"/>
          <w:sz w:val="24"/>
          <w:lang w:eastAsia="zh-CN"/>
        </w:rPr>
        <w:t>）</w:t>
      </w:r>
      <w:r>
        <w:rPr>
          <w:rFonts w:hint="eastAsia" w:ascii="仿宋" w:hAnsi="仿宋" w:eastAsia="仿宋" w:cs="仿宋"/>
          <w:sz w:val="24"/>
        </w:rPr>
        <w:t>。</w:t>
      </w:r>
    </w:p>
    <w:p>
      <w:pPr>
        <w:spacing w:line="360" w:lineRule="exact"/>
        <w:ind w:left="-1"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、具有良好的商业信誉和健全的财务会计制度，提供距开标时间六个月内任意一月份的财务状况报告（至少包括资产负债表或利润表）</w:t>
      </w:r>
      <w:r>
        <w:rPr>
          <w:rFonts w:hint="eastAsia" w:ascii="仿宋" w:hAnsi="仿宋" w:eastAsia="仿宋" w:cs="仿宋"/>
          <w:sz w:val="24"/>
          <w:lang w:eastAsia="zh-CN"/>
        </w:rPr>
        <w:t>（</w:t>
      </w:r>
      <w:r>
        <w:rPr>
          <w:rFonts w:hint="eastAsia" w:ascii="仿宋" w:hAnsi="仿宋" w:eastAsia="仿宋" w:cs="仿宋"/>
          <w:sz w:val="24"/>
        </w:rPr>
        <w:t>法人或者其他组织成立未满三个月的可以不提供</w:t>
      </w:r>
      <w:r>
        <w:rPr>
          <w:rFonts w:hint="eastAsia" w:ascii="仿宋" w:hAnsi="仿宋" w:eastAsia="仿宋" w:cs="仿宋"/>
          <w:sz w:val="24"/>
          <w:lang w:eastAsia="zh-CN"/>
        </w:rPr>
        <w:t>）</w:t>
      </w:r>
      <w:r>
        <w:rPr>
          <w:rFonts w:hint="eastAsia" w:ascii="仿宋" w:hAnsi="仿宋" w:eastAsia="仿宋" w:cs="仿宋"/>
          <w:sz w:val="24"/>
        </w:rPr>
        <w:t>，或其银行出具的资信证书（复印件）（开标前六个月内），或其上一年度经审计的财务报告复印件加盖公章。</w:t>
      </w:r>
    </w:p>
    <w:p>
      <w:pPr>
        <w:spacing w:line="360" w:lineRule="exact"/>
        <w:ind w:left="-1"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、具有履行合同所必需的设备和专业技术能力（根据项目需求提供履行合同所必需的设备和专业技术能力的证明材料或相关加盖公章的承诺函，承诺函自行编写）。</w:t>
      </w:r>
    </w:p>
    <w:p>
      <w:pPr>
        <w:spacing w:line="360" w:lineRule="exact"/>
        <w:ind w:left="-1"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参加政府采购活动近三年内（成立时间不足三年的、自成立时间起），在经营活动中没有重大违法记录（提供承诺书，格式自拟，重大违法记录是指供应商因违法经营受到刑事处罚或责令停产停业、吊销许可证或者执照、较大数额等行政处罚）。</w:t>
      </w:r>
    </w:p>
    <w:p>
      <w:pPr>
        <w:spacing w:line="360" w:lineRule="exact"/>
        <w:ind w:left="-1"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、有依法缴纳税收的良好记录，提供距开标时间六个月内任意一月份的纳税凭据复印件加盖公章（依法免税的应提供相应文件说明）。</w:t>
      </w:r>
    </w:p>
    <w:p>
      <w:pPr>
        <w:spacing w:line="360" w:lineRule="exact"/>
        <w:ind w:left="-1" w:firstLine="480" w:firstLineChars="200"/>
        <w:rPr>
          <w:rFonts w:ascii="仿宋" w:hAnsi="仿宋" w:eastAsia="仿宋" w:cs="仿宋"/>
          <w:sz w:val="24"/>
        </w:rPr>
      </w:pPr>
      <w:r>
        <w:rPr>
          <w:rFonts w:ascii="仿宋" w:hAnsi="仿宋" w:eastAsia="仿宋" w:cs="仿宋"/>
          <w:sz w:val="24"/>
        </w:rPr>
        <w:t>7</w:t>
      </w:r>
      <w:r>
        <w:rPr>
          <w:rFonts w:hint="eastAsia" w:ascii="仿宋" w:hAnsi="仿宋" w:eastAsia="仿宋" w:cs="仿宋"/>
          <w:sz w:val="24"/>
        </w:rPr>
        <w:t>、有依法缴纳社会保障资金的良好记录，提供距开标时间六个月内任意一月份的依法缴纳社会保障资金的凭据复印件加盖公章。</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8、法定代表人证书或授权委托书（需原件）。</w:t>
      </w:r>
    </w:p>
    <w:p>
      <w:pPr>
        <w:spacing w:line="360" w:lineRule="exact"/>
        <w:ind w:left="-1" w:firstLine="480" w:firstLineChars="200"/>
        <w:rPr>
          <w:rFonts w:ascii="仿宋" w:hAnsi="仿宋" w:eastAsia="仿宋" w:cs="仿宋"/>
          <w:sz w:val="24"/>
        </w:rPr>
      </w:pPr>
      <w:r>
        <w:rPr>
          <w:rFonts w:ascii="仿宋" w:hAnsi="仿宋" w:eastAsia="仿宋" w:cs="仿宋"/>
          <w:sz w:val="24"/>
        </w:rPr>
        <w:t>9</w:t>
      </w:r>
      <w:r>
        <w:rPr>
          <w:rFonts w:hint="eastAsia" w:ascii="仿宋" w:hAnsi="仿宋" w:eastAsia="仿宋" w:cs="仿宋"/>
          <w:sz w:val="24"/>
        </w:rPr>
        <w:t>、本项目不接受联合体投标，中标后不允许转包、分包。</w:t>
      </w:r>
    </w:p>
    <w:p>
      <w:pPr>
        <w:spacing w:line="360" w:lineRule="exact"/>
        <w:ind w:left="-1" w:firstLine="480" w:firstLineChars="200"/>
        <w:rPr>
          <w:rFonts w:hint="eastAsia" w:ascii="仿宋" w:hAnsi="仿宋" w:eastAsia="仿宋" w:cs="仿宋"/>
          <w:sz w:val="24"/>
        </w:rPr>
      </w:pPr>
      <w:r>
        <w:rPr>
          <w:rFonts w:ascii="仿宋" w:hAnsi="仿宋" w:eastAsia="仿宋" w:cs="仿宋"/>
          <w:sz w:val="24"/>
        </w:rPr>
        <w:t>10</w:t>
      </w:r>
      <w:r>
        <w:rPr>
          <w:rFonts w:hint="eastAsia" w:ascii="仿宋" w:hAnsi="仿宋" w:eastAsia="仿宋" w:cs="仿宋"/>
          <w:sz w:val="24"/>
        </w:rPr>
        <w:t>、投标人单位负责人为同一人或者存在直接控股、管理关系的不同投标人，不得参加同一合同项下的政府采购活动。</w:t>
      </w:r>
    </w:p>
    <w:p>
      <w:pPr>
        <w:spacing w:line="360" w:lineRule="exact"/>
        <w:ind w:left="-1" w:firstLine="480" w:firstLineChars="200"/>
      </w:pPr>
      <w:r>
        <w:rPr>
          <w:rFonts w:hint="eastAsia" w:ascii="仿宋" w:hAnsi="仿宋" w:eastAsia="仿宋" w:cs="仿宋"/>
          <w:sz w:val="24"/>
          <w:lang w:val="en-US" w:eastAsia="zh-CN"/>
        </w:rPr>
        <w:t>11</w:t>
      </w:r>
      <w:r>
        <w:rPr>
          <w:rFonts w:hint="eastAsia" w:ascii="仿宋" w:hAnsi="仿宋" w:eastAsia="仿宋" w:cs="仿宋"/>
          <w:sz w:val="24"/>
        </w:rPr>
        <w:t>、投标人具有建筑机电安装工程承包资质。</w:t>
      </w:r>
    </w:p>
    <w:p>
      <w:pPr>
        <w:spacing w:line="360" w:lineRule="exact"/>
        <w:ind w:left="-1"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2</w:t>
      </w:r>
      <w:r>
        <w:rPr>
          <w:rFonts w:hint="eastAsia" w:ascii="仿宋" w:hAnsi="仿宋" w:eastAsia="仿宋" w:cs="仿宋"/>
          <w:sz w:val="24"/>
        </w:rPr>
        <w:t>、拒绝列入失信被执行人、重大税收违法案件当事人名单、政府采购严重违法失信行为记录名单的投标人参与政府采购活动。采购代理机构在评标时通过“信用中国”网站</w:t>
      </w:r>
      <w:r>
        <w:rPr>
          <w:rFonts w:hint="eastAsia" w:ascii="仿宋" w:hAnsi="仿宋" w:eastAsia="仿宋" w:cs="仿宋"/>
          <w:sz w:val="24"/>
          <w:lang w:eastAsia="zh-CN"/>
        </w:rPr>
        <w:t>(</w:t>
      </w:r>
      <w:r>
        <w:rPr>
          <w:rFonts w:hint="eastAsia" w:ascii="仿宋" w:hAnsi="仿宋" w:eastAsia="仿宋" w:cs="仿宋"/>
          <w:sz w:val="24"/>
        </w:rPr>
        <w:t>www.creditchina.gov.cn)、中国政府采购网</w:t>
      </w:r>
      <w:r>
        <w:rPr>
          <w:rFonts w:hint="eastAsia" w:ascii="仿宋" w:hAnsi="仿宋" w:eastAsia="仿宋" w:cs="仿宋"/>
          <w:sz w:val="24"/>
          <w:lang w:eastAsia="zh-CN"/>
        </w:rPr>
        <w:t>（</w:t>
      </w:r>
      <w:r>
        <w:rPr>
          <w:rFonts w:hint="eastAsia" w:ascii="仿宋" w:hAnsi="仿宋" w:eastAsia="仿宋" w:cs="仿宋"/>
          <w:sz w:val="24"/>
        </w:rPr>
        <w:t>www.ccgp.gov.cn</w:t>
      </w:r>
      <w:r>
        <w:rPr>
          <w:rFonts w:hint="eastAsia" w:ascii="仿宋" w:hAnsi="仿宋" w:eastAsia="仿宋" w:cs="仿宋"/>
          <w:sz w:val="24"/>
          <w:lang w:eastAsia="zh-CN"/>
        </w:rPr>
        <w:t>）</w:t>
      </w:r>
      <w:r>
        <w:rPr>
          <w:rFonts w:hint="eastAsia" w:ascii="仿宋" w:hAnsi="仿宋" w:eastAsia="仿宋" w:cs="仿宋"/>
          <w:sz w:val="24"/>
        </w:rPr>
        <w:t>等渠道查询投标人在采购公告发布之日24时前的信用记录并保存。</w:t>
      </w:r>
    </w:p>
    <w:p>
      <w:pPr>
        <w:spacing w:line="360" w:lineRule="exact"/>
        <w:ind w:left="1181" w:hanging="1181" w:hangingChars="490"/>
        <w:rPr>
          <w:rFonts w:ascii="仿宋" w:hAnsi="仿宋" w:eastAsia="仿宋" w:cs="仿宋"/>
          <w:sz w:val="24"/>
        </w:rPr>
      </w:pPr>
      <w:r>
        <w:rPr>
          <w:rFonts w:hint="eastAsia" w:ascii="仿宋" w:hAnsi="仿宋" w:eastAsia="仿宋" w:cs="仿宋"/>
          <w:b/>
          <w:bCs/>
          <w:sz w:val="24"/>
        </w:rPr>
        <w:t>三、投标人资格审查方式：资格后审。</w:t>
      </w:r>
    </w:p>
    <w:p>
      <w:pPr>
        <w:autoSpaceDE w:val="0"/>
        <w:spacing w:line="360" w:lineRule="exact"/>
        <w:jc w:val="left"/>
        <w:rPr>
          <w:rFonts w:ascii="仿宋" w:hAnsi="仿宋" w:eastAsia="仿宋" w:cs="仿宋"/>
          <w:sz w:val="24"/>
        </w:rPr>
      </w:pPr>
      <w:r>
        <w:rPr>
          <w:rFonts w:hint="eastAsia" w:ascii="仿宋" w:hAnsi="仿宋" w:eastAsia="仿宋" w:cs="仿宋"/>
          <w:b/>
          <w:bCs/>
          <w:sz w:val="24"/>
        </w:rPr>
        <w:t>四、招标文件获取：</w:t>
      </w:r>
      <w:r>
        <w:rPr>
          <w:rFonts w:hint="eastAsia" w:ascii="仿宋" w:hAnsi="仿宋" w:eastAsia="仿宋" w:cs="仿宋"/>
          <w:sz w:val="24"/>
        </w:rPr>
        <w:t>投标人自行登录南通理工学院招投标主页</w:t>
      </w:r>
      <w:r>
        <w:rPr>
          <w:rFonts w:hint="eastAsia" w:ascii="仿宋" w:hAnsi="仿宋" w:eastAsia="仿宋" w:cs="仿宋"/>
          <w:sz w:val="24"/>
          <w:u w:val="single"/>
        </w:rPr>
        <w:t>www.ntit.edu.cn/3554</w:t>
      </w:r>
      <w:r>
        <w:rPr>
          <w:rFonts w:hint="eastAsia" w:ascii="仿宋" w:hAnsi="仿宋" w:eastAsia="仿宋" w:cs="仿宋"/>
          <w:sz w:val="24"/>
        </w:rPr>
        <w:t>下载。</w:t>
      </w:r>
    </w:p>
    <w:p>
      <w:pPr>
        <w:spacing w:line="440" w:lineRule="exact"/>
        <w:rPr>
          <w:rFonts w:ascii="仿宋" w:hAnsi="仿宋" w:eastAsia="仿宋" w:cs="仿宋"/>
          <w:color w:val="333333"/>
          <w:sz w:val="24"/>
          <w:highlight w:val="none"/>
        </w:rPr>
      </w:pPr>
      <w:r>
        <w:rPr>
          <w:rFonts w:hint="eastAsia" w:ascii="仿宋" w:hAnsi="仿宋" w:eastAsia="仿宋" w:cs="仿宋"/>
          <w:b/>
          <w:bCs/>
          <w:sz w:val="24"/>
        </w:rPr>
        <w:t>五、招标文件售价：</w:t>
      </w:r>
      <w:r>
        <w:rPr>
          <w:rFonts w:hint="eastAsia" w:ascii="仿宋" w:hAnsi="仿宋" w:eastAsia="仿宋" w:cs="仿宋"/>
          <w:sz w:val="24"/>
        </w:rPr>
        <w:t>人民</w:t>
      </w:r>
      <w:r>
        <w:rPr>
          <w:rFonts w:hint="eastAsia" w:ascii="仿宋" w:hAnsi="仿宋" w:eastAsia="仿宋" w:cs="仿宋"/>
          <w:sz w:val="24"/>
          <w:highlight w:val="none"/>
        </w:rPr>
        <w:t>币</w:t>
      </w:r>
      <w:r>
        <w:rPr>
          <w:rFonts w:hint="eastAsia" w:ascii="仿宋" w:hAnsi="仿宋" w:eastAsia="仿宋" w:cs="仿宋"/>
          <w:sz w:val="24"/>
          <w:highlight w:val="none"/>
          <w:lang w:val="en-US" w:eastAsia="zh-CN"/>
        </w:rPr>
        <w:t>300</w:t>
      </w:r>
      <w:r>
        <w:rPr>
          <w:rFonts w:hint="eastAsia" w:ascii="仿宋" w:hAnsi="仿宋" w:eastAsia="仿宋" w:cs="仿宋"/>
          <w:sz w:val="24"/>
          <w:highlight w:val="none"/>
        </w:rPr>
        <w:t>元（支付宝，支付宝账号：13813609710。报名前缴纳，售后不退）。</w:t>
      </w:r>
    </w:p>
    <w:p>
      <w:pPr>
        <w:spacing w:line="360" w:lineRule="exact"/>
        <w:rPr>
          <w:rFonts w:ascii="仿宋" w:hAnsi="仿宋" w:eastAsia="仿宋" w:cs="仿宋"/>
          <w:b/>
          <w:bCs/>
          <w:sz w:val="24"/>
        </w:rPr>
      </w:pPr>
      <w:r>
        <w:rPr>
          <w:rFonts w:hint="eastAsia" w:ascii="仿宋" w:hAnsi="仿宋" w:eastAsia="仿宋" w:cs="仿宋"/>
          <w:b/>
          <w:bCs/>
          <w:sz w:val="24"/>
          <w:highlight w:val="none"/>
        </w:rPr>
        <w:t>六、投标保证金：</w:t>
      </w:r>
      <w:r>
        <w:rPr>
          <w:rFonts w:hint="eastAsia" w:ascii="仿宋" w:hAnsi="仿宋" w:eastAsia="仿宋" w:cs="仿宋"/>
          <w:sz w:val="24"/>
          <w:highlight w:val="none"/>
        </w:rPr>
        <w:t>人民币</w:t>
      </w:r>
      <w:r>
        <w:rPr>
          <w:rFonts w:hint="eastAsia" w:ascii="仿宋" w:hAnsi="仿宋" w:eastAsia="仿宋" w:cs="仿宋"/>
          <w:sz w:val="24"/>
          <w:highlight w:val="none"/>
          <w:lang w:val="en-US" w:eastAsia="zh-CN"/>
        </w:rPr>
        <w:t>80000</w:t>
      </w:r>
      <w:r>
        <w:rPr>
          <w:rFonts w:hint="eastAsia" w:ascii="仿宋" w:hAnsi="仿宋" w:eastAsia="仿宋" w:cs="仿宋"/>
          <w:sz w:val="24"/>
          <w:highlight w:val="none"/>
        </w:rPr>
        <w:t>元</w:t>
      </w:r>
      <w:r>
        <w:rPr>
          <w:rFonts w:hint="eastAsia" w:ascii="仿宋" w:hAnsi="仿宋" w:eastAsia="仿宋" w:cs="仿宋"/>
          <w:sz w:val="24"/>
        </w:rPr>
        <w:t>。投标保证金一律采用转账方式汇至我单位银行账户，</w:t>
      </w:r>
      <w:r>
        <w:rPr>
          <w:rFonts w:hint="eastAsia" w:ascii="仿宋" w:hAnsi="仿宋" w:eastAsia="仿宋" w:cs="仿宋"/>
          <w:color w:val="FF0000"/>
          <w:sz w:val="24"/>
        </w:rPr>
        <w:t>转账时备注项目名称及用途</w:t>
      </w:r>
      <w:r>
        <w:rPr>
          <w:rFonts w:hint="eastAsia" w:ascii="仿宋" w:hAnsi="仿宋" w:eastAsia="仿宋" w:cs="仿宋"/>
          <w:sz w:val="24"/>
        </w:rPr>
        <w:t>，我处原则上不接受现金交纳方式；</w:t>
      </w:r>
      <w:r>
        <w:rPr>
          <w:rFonts w:hint="eastAsia" w:ascii="仿宋" w:hAnsi="仿宋" w:eastAsia="仿宋" w:cs="仿宋"/>
          <w:color w:val="FF0000"/>
          <w:sz w:val="24"/>
        </w:rPr>
        <w:t>投标保证金必须在投标报名前汇至我单位，报名时附汇款记录。如报名时未打投标保证金和附投标保证金汇款记录，则报名不成功，我单位将不接受投标文件。</w:t>
      </w:r>
      <w:r>
        <w:rPr>
          <w:rFonts w:hint="eastAsia" w:ascii="仿宋" w:hAnsi="仿宋" w:eastAsia="仿宋" w:cs="仿宋"/>
          <w:sz w:val="24"/>
        </w:rPr>
        <w:t>在退还投标保证金时，我处一律采用转账方式予以退还到各单位银行账户上。（未中标单位交纳的投标保证金将等额无息退还，中标单位交纳的投标保证金则转为履约保证金，合同签订货到后，将等额无息退还。）</w:t>
      </w:r>
    </w:p>
    <w:p>
      <w:pPr>
        <w:pStyle w:val="12"/>
        <w:widowControl/>
        <w:spacing w:beforeAutospacing="0" w:afterAutospacing="0" w:line="360" w:lineRule="exact"/>
        <w:rPr>
          <w:rFonts w:ascii="仿宋" w:hAnsi="仿宋" w:eastAsia="仿宋" w:cs="仿宋"/>
          <w:color w:val="222222"/>
        </w:rPr>
      </w:pP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南通理工学院账户信息：</w:t>
      </w: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开户名：南通理工学院</w:t>
      </w: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统一社会代码：12320000724161141N</w:t>
      </w: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开户行：中行南通分行营业部</w:t>
      </w: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账号：541758202529</w:t>
      </w: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行号：104306084105</w:t>
      </w: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地址：南通市崇川区永兴路211号</w:t>
      </w:r>
    </w:p>
    <w:p>
      <w:pPr>
        <w:autoSpaceDE w:val="0"/>
        <w:spacing w:line="360" w:lineRule="exact"/>
        <w:jc w:val="left"/>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七、报名要求</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1、投标报名时间：潜在投标人如确定参加投标，请务必于202</w:t>
      </w:r>
      <w:r>
        <w:rPr>
          <w:rFonts w:ascii="仿宋" w:hAnsi="仿宋" w:eastAsia="仿宋" w:cs="仿宋"/>
          <w:sz w:val="24"/>
          <w:highlight w:val="none"/>
        </w:rPr>
        <w:t>3</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日11时00分前将“报名投标确认函”（格式见</w:t>
      </w:r>
      <w:r>
        <w:rPr>
          <w:rFonts w:hint="eastAsia" w:ascii="仿宋" w:hAnsi="仿宋" w:eastAsia="仿宋" w:cs="仿宋"/>
          <w:sz w:val="24"/>
          <w:highlight w:val="none"/>
          <w:lang w:eastAsia="zh-CN"/>
        </w:rPr>
        <w:t>附件</w:t>
      </w:r>
      <w:r>
        <w:rPr>
          <w:rFonts w:hint="eastAsia" w:ascii="仿宋" w:hAnsi="仿宋" w:eastAsia="仿宋" w:cs="仿宋"/>
          <w:sz w:val="24"/>
          <w:highlight w:val="none"/>
        </w:rPr>
        <w:t>）填写完整后扫描+投保保证金汇款记录+标书费汇款记录，发送电子邮件至以下邮箱：caichl@ntit.edu.cn。邮件主题：***公司****项目报名。如潜在投标人未按上述要求操作，将自行承担所产生的风险。</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2、递交投标文件时间：202</w:t>
      </w:r>
      <w:r>
        <w:rPr>
          <w:rFonts w:ascii="仿宋" w:hAnsi="仿宋" w:eastAsia="仿宋" w:cs="仿宋"/>
          <w:sz w:val="24"/>
          <w:highlight w:val="none"/>
        </w:rPr>
        <w:t>3</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日（1</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:00前）将投标文件（要求密封）递交我校资产与基建处招标采购中心。</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3、响应文件接收截止时间：202</w:t>
      </w:r>
      <w:r>
        <w:rPr>
          <w:rFonts w:ascii="仿宋" w:hAnsi="仿宋" w:eastAsia="仿宋" w:cs="仿宋"/>
          <w:sz w:val="24"/>
          <w:highlight w:val="none"/>
        </w:rPr>
        <w:t>3</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日1</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时00分。</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4、本项目现场不开标，开标时间另行通知。</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八、投标文件递交方式</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现场递交：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（1）投标文件接收地点：南通理工学院资产与基建处行政楼208办公室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仿宋" w:hAnsi="仿宋" w:eastAsia="仿宋" w:cs="仿宋"/>
          <w:b w:val="0"/>
          <w:bCs w:val="0"/>
          <w:kern w:val="2"/>
          <w:sz w:val="24"/>
          <w:szCs w:val="24"/>
          <w:lang w:val="en-US" w:eastAsia="zh-CN"/>
        </w:rPr>
      </w:pPr>
      <w:r>
        <w:rPr>
          <w:rFonts w:hint="eastAsia" w:ascii="仿宋" w:hAnsi="仿宋" w:eastAsia="仿宋" w:cs="仿宋"/>
          <w:b w:val="0"/>
          <w:bCs w:val="0"/>
          <w:sz w:val="24"/>
          <w:szCs w:val="24"/>
          <w:lang w:val="en-US" w:eastAsia="zh-CN"/>
        </w:rPr>
        <w:t>（2）联系人及联系方式：任老师</w:t>
      </w:r>
      <w:r>
        <w:rPr>
          <w:rFonts w:hint="eastAsia" w:ascii="仿宋" w:hAnsi="仿宋" w:eastAsia="仿宋" w:cs="仿宋"/>
          <w:b w:val="0"/>
          <w:bCs w:val="0"/>
          <w:kern w:val="2"/>
          <w:sz w:val="24"/>
          <w:szCs w:val="24"/>
          <w:lang w:val="en-US" w:eastAsia="zh-CN"/>
        </w:rPr>
        <w:t>18851411506。</w:t>
      </w:r>
    </w:p>
    <w:p>
      <w:pPr>
        <w:pStyle w:val="12"/>
        <w:widowControl/>
        <w:spacing w:beforeAutospacing="0" w:afterAutospacing="0" w:line="360" w:lineRule="exact"/>
        <w:rPr>
          <w:rFonts w:ascii="仿宋" w:hAnsi="仿宋" w:eastAsia="仿宋" w:cs="仿宋"/>
          <w:kern w:val="2"/>
        </w:rPr>
      </w:pPr>
      <w:r>
        <w:rPr>
          <w:rFonts w:hint="eastAsia" w:ascii="仿宋" w:hAnsi="仿宋" w:eastAsia="仿宋" w:cs="仿宋"/>
          <w:b/>
          <w:bCs/>
          <w:kern w:val="2"/>
        </w:rPr>
        <w:t>九、与本次谈判有关的商务事宜请按下列通讯方式联系</w:t>
      </w:r>
    </w:p>
    <w:p>
      <w:pPr>
        <w:pStyle w:val="12"/>
        <w:widowControl/>
        <w:spacing w:beforeAutospacing="0" w:afterAutospacing="0" w:line="360" w:lineRule="exact"/>
        <w:rPr>
          <w:rFonts w:ascii="仿宋" w:hAnsi="仿宋" w:eastAsia="仿宋" w:cs="仿宋"/>
          <w:kern w:val="2"/>
        </w:rPr>
      </w:pPr>
      <w:r>
        <w:rPr>
          <w:rFonts w:hint="eastAsia" w:ascii="仿宋" w:hAnsi="仿宋" w:eastAsia="仿宋" w:cs="仿宋"/>
          <w:b/>
          <w:bCs/>
          <w:kern w:val="2"/>
        </w:rPr>
        <w:t>招标联系人及方式：</w:t>
      </w:r>
    </w:p>
    <w:p>
      <w:pPr>
        <w:pStyle w:val="12"/>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rPr>
      </w:pPr>
      <w:r>
        <w:rPr>
          <w:rFonts w:hint="eastAsia" w:ascii="仿宋" w:hAnsi="仿宋" w:eastAsia="仿宋" w:cs="仿宋"/>
          <w:kern w:val="2"/>
          <w:sz w:val="24"/>
          <w:szCs w:val="24"/>
        </w:rPr>
        <w:t>单位部门：</w:t>
      </w:r>
      <w:r>
        <w:rPr>
          <w:rFonts w:hint="eastAsia" w:ascii="仿宋" w:hAnsi="仿宋" w:eastAsia="仿宋" w:cs="仿宋"/>
          <w:kern w:val="2"/>
          <w:sz w:val="24"/>
          <w:szCs w:val="24"/>
          <w:lang w:val="en-US" w:eastAsia="zh-CN"/>
        </w:rPr>
        <w:t>南通理工学院</w:t>
      </w:r>
      <w:r>
        <w:rPr>
          <w:rFonts w:hint="eastAsia" w:ascii="仿宋" w:hAnsi="仿宋" w:eastAsia="仿宋" w:cs="仿宋"/>
          <w:b w:val="0"/>
          <w:i w:val="0"/>
          <w:caps w:val="0"/>
          <w:color w:val="000000"/>
          <w:spacing w:val="0"/>
          <w:kern w:val="0"/>
          <w:sz w:val="24"/>
          <w:szCs w:val="24"/>
          <w:lang w:val="en-US" w:eastAsia="zh-CN" w:bidi="ar"/>
        </w:rPr>
        <w:t>资产与基建处资产管理中心</w:t>
      </w:r>
    </w:p>
    <w:p>
      <w:pPr>
        <w:pStyle w:val="12"/>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rPr>
      </w:pPr>
      <w:r>
        <w:rPr>
          <w:rFonts w:hint="eastAsia" w:ascii="仿宋" w:hAnsi="仿宋" w:eastAsia="仿宋" w:cs="仿宋"/>
          <w:kern w:val="2"/>
          <w:sz w:val="24"/>
          <w:szCs w:val="24"/>
        </w:rPr>
        <w:t>联系地址：江苏省南通市</w:t>
      </w:r>
      <w:r>
        <w:rPr>
          <w:rFonts w:hint="eastAsia" w:ascii="仿宋" w:hAnsi="仿宋" w:eastAsia="仿宋" w:cs="仿宋"/>
          <w:kern w:val="2"/>
          <w:sz w:val="24"/>
          <w:szCs w:val="24"/>
          <w:lang w:eastAsia="zh-CN"/>
        </w:rPr>
        <w:t>崇川</w:t>
      </w:r>
      <w:r>
        <w:rPr>
          <w:rFonts w:hint="eastAsia" w:ascii="仿宋" w:hAnsi="仿宋" w:eastAsia="仿宋" w:cs="仿宋"/>
          <w:kern w:val="2"/>
          <w:sz w:val="24"/>
          <w:szCs w:val="24"/>
        </w:rPr>
        <w:t>区永兴路</w:t>
      </w:r>
      <w:r>
        <w:rPr>
          <w:rFonts w:hint="eastAsia" w:ascii="仿宋" w:hAnsi="仿宋" w:eastAsia="仿宋" w:cs="仿宋"/>
          <w:kern w:val="2"/>
          <w:sz w:val="24"/>
          <w:szCs w:val="24"/>
          <w:lang w:val="en-US" w:eastAsia="zh-CN"/>
        </w:rPr>
        <w:t>211</w:t>
      </w:r>
      <w:r>
        <w:rPr>
          <w:rFonts w:hint="eastAsia" w:ascii="仿宋" w:hAnsi="仿宋" w:eastAsia="仿宋" w:cs="仿宋"/>
          <w:kern w:val="2"/>
          <w:sz w:val="24"/>
          <w:szCs w:val="24"/>
        </w:rPr>
        <w:t>号，</w:t>
      </w:r>
      <w:r>
        <w:rPr>
          <w:rFonts w:hint="eastAsia" w:ascii="仿宋" w:hAnsi="仿宋" w:eastAsia="仿宋" w:cs="仿宋"/>
          <w:b w:val="0"/>
          <w:i w:val="0"/>
          <w:caps w:val="0"/>
          <w:color w:val="000000"/>
          <w:spacing w:val="0"/>
          <w:kern w:val="0"/>
          <w:sz w:val="24"/>
          <w:szCs w:val="24"/>
          <w:lang w:val="en-US" w:eastAsia="zh-CN" w:bidi="ar"/>
        </w:rPr>
        <w:t>资产与基建处招标采购中心</w:t>
      </w:r>
      <w:r>
        <w:rPr>
          <w:rFonts w:hint="eastAsia" w:ascii="仿宋" w:hAnsi="仿宋" w:eastAsia="仿宋" w:cs="仿宋"/>
          <w:kern w:val="2"/>
          <w:sz w:val="24"/>
          <w:szCs w:val="24"/>
          <w:lang w:val="en-US" w:eastAsia="zh-CN"/>
        </w:rPr>
        <w:t>208</w:t>
      </w:r>
      <w:r>
        <w:rPr>
          <w:rFonts w:hint="eastAsia" w:ascii="仿宋" w:hAnsi="仿宋" w:eastAsia="仿宋" w:cs="仿宋"/>
          <w:kern w:val="2"/>
          <w:sz w:val="24"/>
          <w:szCs w:val="24"/>
        </w:rPr>
        <w:t>办公室。</w:t>
      </w:r>
    </w:p>
    <w:p>
      <w:pPr>
        <w:pStyle w:val="12"/>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rPr>
      </w:pPr>
      <w:r>
        <w:rPr>
          <w:rFonts w:hint="eastAsia" w:ascii="仿宋" w:hAnsi="仿宋" w:eastAsia="仿宋" w:cs="仿宋"/>
          <w:kern w:val="2"/>
          <w:sz w:val="24"/>
          <w:szCs w:val="24"/>
        </w:rPr>
        <w:t>邮政编码：226002</w:t>
      </w:r>
    </w:p>
    <w:p>
      <w:pPr>
        <w:pStyle w:val="12"/>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rPr>
        <w:t>联系人：</w:t>
      </w:r>
      <w:r>
        <w:rPr>
          <w:rFonts w:hint="eastAsia" w:ascii="仿宋" w:hAnsi="仿宋" w:eastAsia="仿宋" w:cs="仿宋"/>
          <w:kern w:val="2"/>
          <w:sz w:val="24"/>
          <w:szCs w:val="24"/>
          <w:lang w:val="en-US" w:eastAsia="zh-CN"/>
        </w:rPr>
        <w:t>任</w:t>
      </w:r>
      <w:r>
        <w:rPr>
          <w:rFonts w:hint="eastAsia" w:ascii="仿宋" w:hAnsi="仿宋" w:eastAsia="仿宋" w:cs="仿宋"/>
          <w:kern w:val="2"/>
          <w:sz w:val="24"/>
          <w:szCs w:val="24"/>
        </w:rPr>
        <w:t xml:space="preserve">老师 </w:t>
      </w:r>
      <w:r>
        <w:rPr>
          <w:rFonts w:hint="eastAsia" w:ascii="仿宋" w:hAnsi="仿宋" w:eastAsia="仿宋" w:cs="仿宋"/>
          <w:kern w:val="2"/>
          <w:sz w:val="24"/>
          <w:szCs w:val="24"/>
          <w:lang w:val="en-US" w:eastAsia="zh-CN"/>
        </w:rPr>
        <w:t>18851411506</w:t>
      </w:r>
    </w:p>
    <w:p>
      <w:pPr>
        <w:pStyle w:val="12"/>
        <w:widowControl/>
        <w:spacing w:beforeAutospacing="0" w:afterAutospacing="0" w:line="360" w:lineRule="exact"/>
        <w:rPr>
          <w:rFonts w:hint="eastAsia" w:ascii="仿宋" w:hAnsi="仿宋" w:eastAsia="仿宋" w:cs="仿宋"/>
          <w:kern w:val="2"/>
          <w:sz w:val="24"/>
          <w:szCs w:val="24"/>
          <w:u w:val="none"/>
          <w:lang w:val="en-US" w:eastAsia="zh-CN"/>
        </w:rPr>
      </w:pPr>
      <w:r>
        <w:rPr>
          <w:rFonts w:hint="eastAsia" w:ascii="仿宋" w:hAnsi="仿宋" w:eastAsia="仿宋" w:cs="仿宋"/>
          <w:kern w:val="2"/>
        </w:rPr>
        <w:t>现场勘查联系方式：</w:t>
      </w:r>
      <w:r>
        <w:rPr>
          <w:rFonts w:hint="eastAsia" w:ascii="仿宋" w:hAnsi="仿宋" w:eastAsia="仿宋" w:cs="仿宋"/>
          <w:kern w:val="2"/>
          <w:u w:val="none"/>
          <w:lang w:val="en-US" w:eastAsia="zh-CN"/>
        </w:rPr>
        <w:t xml:space="preserve">周老师 </w:t>
      </w:r>
      <w:r>
        <w:rPr>
          <w:rFonts w:hint="eastAsia" w:ascii="仿宋" w:hAnsi="仿宋" w:eastAsia="仿宋" w:cs="仿宋"/>
          <w:kern w:val="2"/>
          <w:sz w:val="24"/>
          <w:szCs w:val="24"/>
          <w:u w:val="none"/>
          <w:lang w:val="en-US" w:eastAsia="zh-CN"/>
        </w:rPr>
        <w:t>13912207728</w:t>
      </w:r>
    </w:p>
    <w:p>
      <w:pPr>
        <w:snapToGrid w:val="0"/>
        <w:spacing w:line="360" w:lineRule="exact"/>
        <w:jc w:val="left"/>
        <w:rPr>
          <w:rFonts w:hint="default" w:ascii="仿宋" w:hAnsi="仿宋" w:eastAsia="仿宋" w:cs="仿宋"/>
          <w:kern w:val="2"/>
          <w:sz w:val="24"/>
          <w:szCs w:val="24"/>
          <w:lang w:val="en-US" w:eastAsia="zh-CN" w:bidi="ar-SA"/>
        </w:rPr>
      </w:pPr>
      <w:r>
        <w:rPr>
          <w:rFonts w:hint="eastAsia" w:ascii="仿宋" w:hAnsi="仿宋" w:eastAsia="仿宋" w:cs="仿宋"/>
          <w:b w:val="0"/>
          <w:bCs w:val="0"/>
          <w:kern w:val="2"/>
          <w:sz w:val="24"/>
          <w:szCs w:val="24"/>
          <w:lang w:val="en-US" w:eastAsia="zh-CN"/>
        </w:rPr>
        <w:t>技术联系人及方式：</w:t>
      </w:r>
      <w:r>
        <w:rPr>
          <w:rFonts w:hint="eastAsia" w:ascii="仿宋" w:hAnsi="仿宋" w:eastAsia="仿宋" w:cs="仿宋"/>
          <w:kern w:val="2"/>
          <w:sz w:val="24"/>
          <w:szCs w:val="24"/>
          <w:lang w:val="en-US" w:eastAsia="zh-CN" w:bidi="ar-SA"/>
        </w:rPr>
        <w:t>曹老师 18951411193</w:t>
      </w:r>
    </w:p>
    <w:p>
      <w:pPr>
        <w:snapToGrid w:val="0"/>
        <w:spacing w:line="360" w:lineRule="exact"/>
        <w:jc w:val="left"/>
      </w:pPr>
      <w:r>
        <w:rPr>
          <w:rFonts w:hint="eastAsia" w:ascii="仿宋" w:hAnsi="仿宋" w:eastAsia="仿宋" w:cs="仿宋"/>
          <w:sz w:val="24"/>
        </w:rPr>
        <w:t>监督联系人及电话：蔡老师0513-85301108</w:t>
      </w:r>
      <w:r>
        <w:rPr>
          <w:rFonts w:hint="eastAsia" w:ascii="宋体" w:hAnsi="宋体" w:cs="宋体"/>
          <w:sz w:val="24"/>
        </w:rPr>
        <w:t>，</w:t>
      </w:r>
      <w:r>
        <w:rPr>
          <w:rFonts w:hint="eastAsia" w:ascii="仿宋" w:hAnsi="仿宋" w:eastAsia="仿宋" w:cs="仿宋"/>
          <w:sz w:val="24"/>
        </w:rPr>
        <w:t xml:space="preserve">13813609710 </w:t>
      </w:r>
    </w:p>
    <w:p>
      <w:pPr>
        <w:pStyle w:val="12"/>
        <w:widowControl/>
        <w:spacing w:beforeAutospacing="0" w:afterAutospacing="0" w:line="360" w:lineRule="exact"/>
        <w:rPr>
          <w:color w:val="FF0000"/>
        </w:rPr>
      </w:pPr>
      <w:r>
        <w:rPr>
          <w:rFonts w:hint="eastAsia" w:ascii="仿宋" w:hAnsi="仿宋" w:eastAsia="仿宋" w:cs="仿宋"/>
          <w:color w:val="FF0000"/>
          <w:kern w:val="2"/>
        </w:rPr>
        <w:t>联系时间：工作日8:00-11:30,14:00-17:00。其他时间概不接待。</w:t>
      </w:r>
    </w:p>
    <w:p>
      <w:pPr>
        <w:snapToGrid w:val="0"/>
        <w:spacing w:line="360" w:lineRule="exact"/>
        <w:rPr>
          <w:rFonts w:ascii="宋体" w:hAnsi="宋体" w:cs="宋体"/>
          <w:b/>
          <w:sz w:val="24"/>
        </w:rPr>
      </w:pPr>
    </w:p>
    <w:p>
      <w:pPr>
        <w:snapToGrid w:val="0"/>
        <w:spacing w:line="360" w:lineRule="exact"/>
        <w:ind w:firstLine="482" w:firstLineChars="200"/>
        <w:rPr>
          <w:rFonts w:ascii="宋体" w:hAnsi="宋体" w:cs="宋体"/>
          <w:b/>
          <w:sz w:val="24"/>
        </w:rPr>
      </w:pPr>
    </w:p>
    <w:p>
      <w:pPr>
        <w:snapToGrid w:val="0"/>
        <w:spacing w:line="360" w:lineRule="exact"/>
        <w:ind w:firstLine="482" w:firstLineChars="200"/>
        <w:rPr>
          <w:rFonts w:ascii="宋体" w:hAnsi="宋体" w:cs="宋体"/>
          <w:b/>
          <w:sz w:val="24"/>
        </w:rPr>
      </w:pPr>
    </w:p>
    <w:p>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sz w:val="24"/>
        </w:rPr>
        <w:t>严格遵守时间</w:t>
      </w:r>
      <w:r>
        <w:rPr>
          <w:rFonts w:hint="eastAsia" w:ascii="宋体" w:hAnsi="宋体" w:cs="宋体"/>
          <w:sz w:val="24"/>
        </w:rPr>
        <w:t>、资料提供等相关约定，如有疑问请及时来人、来函、来电询问。</w:t>
      </w:r>
    </w:p>
    <w:p>
      <w:pPr>
        <w:snapToGrid w:val="0"/>
        <w:spacing w:line="360" w:lineRule="exact"/>
        <w:ind w:firstLine="480" w:firstLineChars="200"/>
        <w:rPr>
          <w:rFonts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pPr>
        <w:spacing w:line="440" w:lineRule="exact"/>
        <w:rPr>
          <w:rFonts w:ascii="宋体" w:hAnsi="宋体"/>
          <w:b/>
          <w:bCs/>
          <w:sz w:val="30"/>
          <w:szCs w:val="30"/>
        </w:rPr>
      </w:pPr>
    </w:p>
    <w:p>
      <w:pPr>
        <w:pStyle w:val="2"/>
        <w:rPr>
          <w:rFonts w:ascii="宋体" w:hAnsi="宋体"/>
          <w:b/>
          <w:bCs/>
          <w:sz w:val="30"/>
          <w:szCs w:val="30"/>
        </w:rPr>
      </w:pPr>
    </w:p>
    <w:p>
      <w:pPr>
        <w:pStyle w:val="2"/>
        <w:rPr>
          <w:rFonts w:ascii="宋体" w:hAnsi="宋体"/>
          <w:b/>
          <w:bCs/>
          <w:sz w:val="30"/>
          <w:szCs w:val="30"/>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pStyle w:val="2"/>
        <w:rPr>
          <w:b/>
          <w:bCs/>
          <w:sz w:val="32"/>
          <w:szCs w:val="32"/>
        </w:rPr>
      </w:pPr>
    </w:p>
    <w:p>
      <w:pPr>
        <w:pStyle w:val="2"/>
        <w:rPr>
          <w:b/>
          <w:bCs/>
          <w:sz w:val="32"/>
          <w:szCs w:val="32"/>
        </w:rPr>
      </w:pPr>
    </w:p>
    <w:p>
      <w:pPr>
        <w:pStyle w:val="2"/>
        <w:rPr>
          <w:b/>
          <w:bCs/>
          <w:sz w:val="32"/>
          <w:szCs w:val="32"/>
        </w:rPr>
      </w:pPr>
    </w:p>
    <w:p>
      <w:pPr>
        <w:spacing w:line="360" w:lineRule="auto"/>
        <w:ind w:firstLine="643" w:firstLineChars="200"/>
        <w:jc w:val="center"/>
        <w:rPr>
          <w:b/>
          <w:bCs/>
          <w:sz w:val="32"/>
          <w:szCs w:val="32"/>
        </w:rPr>
      </w:pPr>
      <w:r>
        <w:rPr>
          <w:rFonts w:hint="eastAsia"/>
          <w:b/>
          <w:bCs/>
          <w:sz w:val="32"/>
          <w:szCs w:val="32"/>
        </w:rPr>
        <w:t>第二部分 投标要求</w:t>
      </w:r>
    </w:p>
    <w:p>
      <w:pPr>
        <w:spacing w:line="360" w:lineRule="auto"/>
        <w:rPr>
          <w:b/>
          <w:sz w:val="24"/>
        </w:rPr>
      </w:pPr>
      <w:r>
        <w:rPr>
          <w:rFonts w:hint="eastAsia"/>
          <w:b/>
          <w:sz w:val="24"/>
        </w:rPr>
        <w:t>一、招标文件</w:t>
      </w:r>
    </w:p>
    <w:p>
      <w:pPr>
        <w:spacing w:line="360" w:lineRule="auto"/>
        <w:ind w:firstLine="482" w:firstLineChars="200"/>
        <w:rPr>
          <w:b/>
          <w:sz w:val="24"/>
        </w:rPr>
      </w:pPr>
      <w:r>
        <w:rPr>
          <w:b/>
          <w:sz w:val="24"/>
        </w:rPr>
        <w:t xml:space="preserve">1.1. </w:t>
      </w:r>
      <w:r>
        <w:rPr>
          <w:rFonts w:hint="eastAsia"/>
          <w:sz w:val="24"/>
        </w:rPr>
        <w:t>名词定义</w:t>
      </w:r>
    </w:p>
    <w:p>
      <w:pPr>
        <w:spacing w:line="360" w:lineRule="auto"/>
        <w:ind w:firstLine="480" w:firstLineChars="200"/>
        <w:rPr>
          <w:sz w:val="24"/>
        </w:rPr>
      </w:pPr>
      <w:r>
        <w:rPr>
          <w:rFonts w:hint="eastAsia"/>
          <w:sz w:val="24"/>
        </w:rPr>
        <w:t>本招标文件中的招标人、投标人、中标人分别指：</w:t>
      </w:r>
    </w:p>
    <w:p>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pPr>
        <w:spacing w:line="360" w:lineRule="auto"/>
        <w:ind w:firstLine="482" w:firstLineChars="200"/>
        <w:rPr>
          <w:b/>
          <w:sz w:val="24"/>
        </w:rPr>
      </w:pPr>
      <w:r>
        <w:rPr>
          <w:b/>
          <w:sz w:val="24"/>
        </w:rPr>
        <w:t xml:space="preserve">1.2. </w:t>
      </w:r>
      <w:r>
        <w:rPr>
          <w:rFonts w:hint="eastAsia"/>
          <w:sz w:val="24"/>
        </w:rPr>
        <w:t>招标文件的组成</w:t>
      </w:r>
    </w:p>
    <w:p>
      <w:pPr>
        <w:spacing w:line="360" w:lineRule="auto"/>
        <w:ind w:firstLine="480" w:firstLineChars="200"/>
        <w:rPr>
          <w:sz w:val="24"/>
        </w:rPr>
      </w:pPr>
      <w:r>
        <w:rPr>
          <w:rFonts w:hint="eastAsia"/>
          <w:sz w:val="24"/>
        </w:rPr>
        <w:t>本招标文件由下列部分组成：</w:t>
      </w:r>
    </w:p>
    <w:p>
      <w:pPr>
        <w:spacing w:line="360" w:lineRule="auto"/>
        <w:ind w:firstLine="480" w:firstLineChars="200"/>
        <w:rPr>
          <w:sz w:val="24"/>
        </w:rPr>
      </w:pPr>
      <w:r>
        <w:rPr>
          <w:rFonts w:hint="eastAsia"/>
          <w:sz w:val="24"/>
        </w:rPr>
        <w:t>（</w:t>
      </w:r>
      <w:r>
        <w:rPr>
          <w:sz w:val="24"/>
        </w:rPr>
        <w:t>1</w:t>
      </w:r>
      <w:r>
        <w:rPr>
          <w:rFonts w:hint="eastAsia"/>
          <w:sz w:val="24"/>
        </w:rPr>
        <w:t>）公开招标采购公告</w:t>
      </w:r>
    </w:p>
    <w:p>
      <w:pPr>
        <w:spacing w:line="360" w:lineRule="auto"/>
        <w:ind w:firstLine="480" w:firstLineChars="200"/>
        <w:rPr>
          <w:sz w:val="24"/>
        </w:rPr>
      </w:pPr>
      <w:r>
        <w:rPr>
          <w:rFonts w:hint="eastAsia"/>
          <w:sz w:val="24"/>
        </w:rPr>
        <w:t>（</w:t>
      </w:r>
      <w:r>
        <w:rPr>
          <w:sz w:val="24"/>
        </w:rPr>
        <w:t>2</w:t>
      </w:r>
      <w:r>
        <w:rPr>
          <w:rFonts w:hint="eastAsia"/>
          <w:sz w:val="24"/>
        </w:rPr>
        <w:t>）投标人须知</w:t>
      </w:r>
    </w:p>
    <w:p>
      <w:pPr>
        <w:spacing w:line="360" w:lineRule="auto"/>
        <w:ind w:firstLine="480" w:firstLineChars="200"/>
        <w:rPr>
          <w:sz w:val="24"/>
        </w:rPr>
      </w:pPr>
      <w:r>
        <w:rPr>
          <w:rFonts w:hint="eastAsia"/>
          <w:sz w:val="24"/>
        </w:rPr>
        <w:t>（</w:t>
      </w:r>
      <w:r>
        <w:rPr>
          <w:sz w:val="24"/>
        </w:rPr>
        <w:t>3</w:t>
      </w:r>
      <w:r>
        <w:rPr>
          <w:rFonts w:hint="eastAsia"/>
          <w:sz w:val="24"/>
        </w:rPr>
        <w:t>）招标货物要求及相关说明</w:t>
      </w:r>
    </w:p>
    <w:p>
      <w:pPr>
        <w:spacing w:line="360" w:lineRule="auto"/>
        <w:ind w:firstLine="480" w:firstLineChars="200"/>
        <w:rPr>
          <w:sz w:val="24"/>
        </w:rPr>
      </w:pPr>
      <w:r>
        <w:rPr>
          <w:rFonts w:hint="eastAsia"/>
          <w:sz w:val="24"/>
        </w:rPr>
        <w:t>（</w:t>
      </w:r>
      <w:r>
        <w:rPr>
          <w:sz w:val="24"/>
        </w:rPr>
        <w:t>4</w:t>
      </w:r>
      <w:r>
        <w:rPr>
          <w:rFonts w:hint="eastAsia"/>
          <w:sz w:val="24"/>
        </w:rPr>
        <w:t>）商务条款</w:t>
      </w:r>
    </w:p>
    <w:p>
      <w:pPr>
        <w:spacing w:line="360" w:lineRule="auto"/>
        <w:ind w:firstLine="480" w:firstLineChars="200"/>
        <w:rPr>
          <w:sz w:val="24"/>
        </w:rPr>
      </w:pPr>
      <w:r>
        <w:rPr>
          <w:rFonts w:hint="eastAsia"/>
          <w:sz w:val="24"/>
        </w:rPr>
        <w:t>（</w:t>
      </w:r>
      <w:r>
        <w:rPr>
          <w:sz w:val="24"/>
        </w:rPr>
        <w:t>5</w:t>
      </w:r>
      <w:r>
        <w:rPr>
          <w:rFonts w:hint="eastAsia"/>
          <w:sz w:val="24"/>
        </w:rPr>
        <w:t>）附件目录及格式</w:t>
      </w:r>
    </w:p>
    <w:p>
      <w:pPr>
        <w:spacing w:line="360" w:lineRule="auto"/>
        <w:ind w:firstLine="482" w:firstLineChars="200"/>
        <w:rPr>
          <w:b/>
          <w:sz w:val="24"/>
        </w:rPr>
      </w:pPr>
      <w:r>
        <w:rPr>
          <w:b/>
          <w:sz w:val="24"/>
        </w:rPr>
        <w:t xml:space="preserve">1.3. </w:t>
      </w:r>
      <w:r>
        <w:rPr>
          <w:rFonts w:hint="eastAsia"/>
          <w:sz w:val="24"/>
        </w:rPr>
        <w:t>招标文件的澄清</w:t>
      </w:r>
    </w:p>
    <w:p>
      <w:pPr>
        <w:spacing w:line="360" w:lineRule="auto"/>
        <w:ind w:firstLine="480" w:firstLineChars="200"/>
        <w:rPr>
          <w:sz w:val="24"/>
        </w:rPr>
      </w:pPr>
      <w:r>
        <w:rPr>
          <w:rFonts w:hint="eastAsia"/>
          <w:sz w:val="24"/>
        </w:rPr>
        <w:t>如投标人对招标文件的某些内容有疑问，应在投标截止时间</w:t>
      </w:r>
      <w:r>
        <w:rPr>
          <w:rFonts w:hint="eastAsia"/>
          <w:sz w:val="24"/>
          <w:lang w:val="en-US" w:eastAsia="zh-CN"/>
        </w:rPr>
        <w:t>5</w:t>
      </w:r>
      <w:r>
        <w:rPr>
          <w:rFonts w:hint="eastAsia"/>
          <w:sz w:val="24"/>
        </w:rPr>
        <w:t>日前以书面形式传真通知招标人，招标人将予以书面答复。招标人认为有必要时，可将答复内容（包括疑问内容，但不包括疑问来源）在</w:t>
      </w:r>
      <w:r>
        <w:rPr>
          <w:rFonts w:hint="eastAsia"/>
          <w:sz w:val="24"/>
          <w:lang w:eastAsia="zh-CN"/>
        </w:rPr>
        <w:t>南通理工学院</w:t>
      </w:r>
      <w:r>
        <w:rPr>
          <w:rFonts w:hint="eastAsia"/>
          <w:sz w:val="24"/>
        </w:rPr>
        <w:t>招投标信息网站上公开发布。</w:t>
      </w:r>
    </w:p>
    <w:p>
      <w:pPr>
        <w:spacing w:line="360" w:lineRule="auto"/>
        <w:ind w:firstLine="482" w:firstLineChars="200"/>
        <w:rPr>
          <w:b/>
          <w:sz w:val="24"/>
        </w:rPr>
      </w:pPr>
      <w:r>
        <w:rPr>
          <w:b/>
          <w:sz w:val="24"/>
        </w:rPr>
        <w:t xml:space="preserve">1.4. </w:t>
      </w:r>
      <w:r>
        <w:rPr>
          <w:rFonts w:hint="eastAsia"/>
          <w:sz w:val="24"/>
        </w:rPr>
        <w:t>招标文件的补充和修改</w:t>
      </w:r>
    </w:p>
    <w:p>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pPr>
        <w:spacing w:line="360" w:lineRule="auto"/>
        <w:rPr>
          <w:b/>
          <w:sz w:val="24"/>
        </w:rPr>
      </w:pPr>
      <w:r>
        <w:rPr>
          <w:rFonts w:hint="eastAsia"/>
          <w:b/>
          <w:sz w:val="24"/>
        </w:rPr>
        <w:t>二、投标文件</w:t>
      </w:r>
    </w:p>
    <w:p>
      <w:pPr>
        <w:spacing w:line="360" w:lineRule="auto"/>
        <w:ind w:firstLine="482" w:firstLineChars="200"/>
        <w:rPr>
          <w:sz w:val="24"/>
        </w:rPr>
      </w:pPr>
      <w:r>
        <w:rPr>
          <w:b/>
          <w:sz w:val="24"/>
        </w:rPr>
        <w:t xml:space="preserve">2.1. </w:t>
      </w:r>
      <w:r>
        <w:rPr>
          <w:rFonts w:hint="eastAsia"/>
          <w:sz w:val="24"/>
        </w:rPr>
        <w:t>投标文件的语言</w:t>
      </w:r>
    </w:p>
    <w:p>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pPr>
        <w:spacing w:line="360" w:lineRule="auto"/>
        <w:ind w:firstLine="480" w:firstLineChars="200"/>
        <w:rPr>
          <w:sz w:val="24"/>
        </w:rPr>
      </w:pPr>
      <w:r>
        <w:rPr>
          <w:rFonts w:hint="eastAsia"/>
          <w:sz w:val="24"/>
        </w:rPr>
        <w:t>（</w:t>
      </w:r>
      <w:r>
        <w:rPr>
          <w:sz w:val="24"/>
        </w:rPr>
        <w:t>2</w:t>
      </w:r>
      <w:r>
        <w:rPr>
          <w:rFonts w:hint="eastAsia"/>
          <w:sz w:val="24"/>
        </w:rPr>
        <w:t>）授权文件、产品说明书、样本等非中文材料，其中的要点应附有中文译文。</w:t>
      </w:r>
    </w:p>
    <w:p>
      <w:pPr>
        <w:spacing w:line="360" w:lineRule="auto"/>
        <w:ind w:firstLine="482" w:firstLineChars="200"/>
        <w:rPr>
          <w:sz w:val="24"/>
        </w:rPr>
      </w:pPr>
      <w:r>
        <w:rPr>
          <w:b/>
          <w:sz w:val="24"/>
        </w:rPr>
        <w:t xml:space="preserve">2.2. </w:t>
      </w:r>
      <w:r>
        <w:rPr>
          <w:rFonts w:hint="eastAsia"/>
          <w:sz w:val="24"/>
        </w:rPr>
        <w:t>投标文件的组成</w:t>
      </w:r>
    </w:p>
    <w:p>
      <w:pPr>
        <w:spacing w:line="360" w:lineRule="auto"/>
        <w:ind w:firstLine="480" w:firstLineChars="200"/>
        <w:rPr>
          <w:sz w:val="24"/>
        </w:rPr>
      </w:pPr>
      <w:r>
        <w:rPr>
          <w:rFonts w:hint="eastAsia"/>
          <w:sz w:val="24"/>
        </w:rPr>
        <w:t>投标人编写的投标文件必须包括</w:t>
      </w:r>
      <w:r>
        <w:rPr>
          <w:rFonts w:hint="eastAsia"/>
          <w:b/>
          <w:sz w:val="24"/>
        </w:rPr>
        <w:t>商务文件</w:t>
      </w:r>
      <w:r>
        <w:rPr>
          <w:rFonts w:hint="eastAsia"/>
          <w:sz w:val="24"/>
        </w:rPr>
        <w:t>和</w:t>
      </w:r>
      <w:r>
        <w:rPr>
          <w:rFonts w:hint="eastAsia"/>
          <w:b/>
          <w:sz w:val="24"/>
        </w:rPr>
        <w:t>技术文件</w:t>
      </w:r>
      <w:r>
        <w:rPr>
          <w:rFonts w:hint="eastAsia"/>
          <w:sz w:val="24"/>
        </w:rPr>
        <w:t>。</w:t>
      </w:r>
    </w:p>
    <w:p>
      <w:pPr>
        <w:numPr>
          <w:ilvl w:val="0"/>
          <w:numId w:val="1"/>
        </w:numPr>
        <w:spacing w:line="360" w:lineRule="auto"/>
        <w:rPr>
          <w:sz w:val="24"/>
        </w:rPr>
      </w:pPr>
      <w:r>
        <w:rPr>
          <w:rFonts w:hint="eastAsia"/>
          <w:b/>
          <w:sz w:val="24"/>
        </w:rPr>
        <w:t>商务文件</w:t>
      </w:r>
      <w:r>
        <w:rPr>
          <w:rFonts w:hint="eastAsia"/>
          <w:sz w:val="24"/>
        </w:rPr>
        <w:t>包括两部分：</w:t>
      </w:r>
    </w:p>
    <w:p>
      <w:pPr>
        <w:spacing w:line="360" w:lineRule="auto"/>
        <w:ind w:firstLine="482" w:firstLineChars="200"/>
        <w:rPr>
          <w:b/>
          <w:sz w:val="24"/>
        </w:rPr>
      </w:pPr>
      <w:r>
        <w:rPr>
          <w:rFonts w:hint="eastAsia"/>
          <w:b/>
          <w:sz w:val="24"/>
        </w:rPr>
        <w:t>商务文件一（报价）：</w:t>
      </w:r>
    </w:p>
    <w:p>
      <w:pPr>
        <w:spacing w:line="360" w:lineRule="auto"/>
        <w:ind w:firstLine="480" w:firstLineChars="200"/>
        <w:rPr>
          <w:sz w:val="24"/>
        </w:rPr>
      </w:pPr>
      <w:r>
        <w:rPr>
          <w:rFonts w:hint="eastAsia"/>
          <w:sz w:val="24"/>
        </w:rPr>
        <w:t>（</w:t>
      </w:r>
      <w:r>
        <w:rPr>
          <w:sz w:val="24"/>
        </w:rPr>
        <w:t>1</w:t>
      </w:r>
      <w:r>
        <w:rPr>
          <w:rFonts w:hint="eastAsia"/>
          <w:sz w:val="24"/>
        </w:rPr>
        <w:t>）投标函（格式见附件</w:t>
      </w:r>
      <w:r>
        <w:rPr>
          <w:sz w:val="24"/>
        </w:rPr>
        <w:t>1</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pPr>
        <w:spacing w:line="360" w:lineRule="auto"/>
        <w:ind w:firstLine="482" w:firstLineChars="200"/>
        <w:rPr>
          <w:b/>
          <w:sz w:val="24"/>
        </w:rPr>
      </w:pPr>
      <w:r>
        <w:rPr>
          <w:rFonts w:hint="eastAsia"/>
          <w:b/>
          <w:sz w:val="24"/>
        </w:rPr>
        <w:t>商务文件二（资格证明）：</w:t>
      </w:r>
      <w:r>
        <w:rPr>
          <w:b/>
          <w:sz w:val="24"/>
        </w:rPr>
        <w:t xml:space="preserve"> </w:t>
      </w:r>
    </w:p>
    <w:p>
      <w:pPr>
        <w:spacing w:line="360" w:lineRule="auto"/>
        <w:ind w:firstLine="480" w:firstLineChars="200"/>
        <w:rPr>
          <w:sz w:val="24"/>
        </w:rPr>
      </w:pPr>
      <w:r>
        <w:rPr>
          <w:rFonts w:hint="eastAsia"/>
          <w:sz w:val="24"/>
        </w:rPr>
        <w:t>（</w:t>
      </w:r>
      <w:r>
        <w:rPr>
          <w:sz w:val="24"/>
        </w:rPr>
        <w:t>1</w:t>
      </w:r>
      <w:r>
        <w:rPr>
          <w:rFonts w:hint="eastAsia"/>
          <w:sz w:val="24"/>
        </w:rPr>
        <w:t>）营业执照复印件</w:t>
      </w:r>
    </w:p>
    <w:p>
      <w:pPr>
        <w:spacing w:line="360" w:lineRule="auto"/>
        <w:ind w:firstLine="480" w:firstLineChars="200"/>
        <w:rPr>
          <w:sz w:val="24"/>
        </w:rPr>
      </w:pPr>
      <w:r>
        <w:rPr>
          <w:rFonts w:hint="eastAsia"/>
          <w:sz w:val="24"/>
        </w:rPr>
        <w:t>（</w:t>
      </w:r>
      <w:r>
        <w:rPr>
          <w:sz w:val="24"/>
        </w:rPr>
        <w:t>2</w:t>
      </w:r>
      <w:r>
        <w:rPr>
          <w:rFonts w:hint="eastAsia"/>
          <w:sz w:val="24"/>
        </w:rPr>
        <w:t>）法定代表人资格证明原件（格式见附件</w:t>
      </w:r>
      <w:r>
        <w:rPr>
          <w:sz w:val="24"/>
        </w:rPr>
        <w:t>6</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）法定代表人授权书原件（格式见附件</w:t>
      </w:r>
      <w:r>
        <w:rPr>
          <w:sz w:val="24"/>
        </w:rPr>
        <w:t>7</w:t>
      </w:r>
      <w:r>
        <w:rPr>
          <w:rFonts w:hint="eastAsia"/>
          <w:sz w:val="24"/>
        </w:rPr>
        <w:t>）</w:t>
      </w:r>
    </w:p>
    <w:p>
      <w:pPr>
        <w:spacing w:line="360" w:lineRule="auto"/>
        <w:ind w:firstLine="480" w:firstLineChars="200"/>
        <w:rPr>
          <w:sz w:val="24"/>
        </w:rPr>
      </w:pPr>
      <w:r>
        <w:rPr>
          <w:rFonts w:hint="eastAsia"/>
          <w:sz w:val="24"/>
        </w:rPr>
        <w:t>（</w:t>
      </w:r>
      <w:r>
        <w:rPr>
          <w:sz w:val="24"/>
        </w:rPr>
        <w:t>4</w:t>
      </w:r>
      <w:r>
        <w:rPr>
          <w:rFonts w:hint="eastAsia"/>
          <w:sz w:val="24"/>
        </w:rPr>
        <w:t>）法定代表人及授权代表身份证复印件或其他相关证明</w:t>
      </w:r>
    </w:p>
    <w:p>
      <w:pPr>
        <w:spacing w:line="360" w:lineRule="auto"/>
        <w:ind w:firstLine="480" w:firstLineChars="200"/>
        <w:rPr>
          <w:sz w:val="24"/>
        </w:rPr>
      </w:pPr>
      <w:r>
        <w:rPr>
          <w:rFonts w:hint="eastAsia"/>
          <w:sz w:val="24"/>
        </w:rPr>
        <w:t>（</w:t>
      </w:r>
      <w:r>
        <w:rPr>
          <w:sz w:val="24"/>
        </w:rPr>
        <w:t>5</w:t>
      </w:r>
      <w:r>
        <w:rPr>
          <w:rFonts w:hint="eastAsia"/>
          <w:sz w:val="24"/>
        </w:rPr>
        <w:t>）投标人近三年内无行贿犯罪违法记录声明</w:t>
      </w:r>
    </w:p>
    <w:p>
      <w:pPr>
        <w:spacing w:line="360" w:lineRule="auto"/>
        <w:ind w:firstLine="482" w:firstLineChars="200"/>
        <w:rPr>
          <w:b/>
          <w:sz w:val="24"/>
        </w:rPr>
      </w:pPr>
      <w:r>
        <w:rPr>
          <w:rFonts w:hint="eastAsia"/>
          <w:b/>
          <w:sz w:val="24"/>
        </w:rPr>
        <w:t>以上资格证明文件的复印件均需加盖供应商公章</w:t>
      </w:r>
    </w:p>
    <w:p>
      <w:pPr>
        <w:numPr>
          <w:ilvl w:val="0"/>
          <w:numId w:val="1"/>
        </w:numPr>
        <w:spacing w:line="360" w:lineRule="auto"/>
        <w:rPr>
          <w:sz w:val="24"/>
        </w:rPr>
      </w:pPr>
      <w:r>
        <w:rPr>
          <w:rFonts w:hint="eastAsia"/>
          <w:b/>
          <w:sz w:val="24"/>
        </w:rPr>
        <w:t>技术文件</w:t>
      </w:r>
      <w:r>
        <w:rPr>
          <w:rFonts w:hint="eastAsia"/>
          <w:sz w:val="24"/>
        </w:rPr>
        <w:t>包括以下部分：</w:t>
      </w:r>
    </w:p>
    <w:p>
      <w:pPr>
        <w:spacing w:line="360" w:lineRule="auto"/>
        <w:ind w:firstLine="480" w:firstLineChars="200"/>
        <w:rPr>
          <w:sz w:val="24"/>
        </w:rPr>
      </w:pPr>
      <w:r>
        <w:rPr>
          <w:rFonts w:hint="eastAsia"/>
          <w:sz w:val="24"/>
        </w:rPr>
        <w:t>（</w:t>
      </w:r>
      <w:r>
        <w:rPr>
          <w:sz w:val="24"/>
        </w:rPr>
        <w:t>1</w:t>
      </w:r>
      <w:r>
        <w:rPr>
          <w:rFonts w:hint="eastAsia"/>
          <w:sz w:val="24"/>
        </w:rPr>
        <w:t>）不含报价的配置清单（格式见附件</w:t>
      </w:r>
      <w:r>
        <w:rPr>
          <w:sz w:val="24"/>
        </w:rPr>
        <w:t>3</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sz w:val="24"/>
        </w:rPr>
        <w:t>4</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sz w:val="24"/>
        </w:rPr>
        <w:t>5</w:t>
      </w:r>
      <w:r>
        <w:rPr>
          <w:rFonts w:hint="eastAsia"/>
          <w:sz w:val="24"/>
        </w:rPr>
        <w:t>）</w:t>
      </w:r>
    </w:p>
    <w:p>
      <w:pPr>
        <w:spacing w:line="360" w:lineRule="auto"/>
        <w:ind w:firstLine="480" w:firstLineChars="200"/>
        <w:rPr>
          <w:rFonts w:hint="eastAsia" w:ascii="Times New Roman" w:hAnsi="Times New Roman" w:cs="Times New Roman"/>
          <w:color w:val="0000FF"/>
          <w:sz w:val="24"/>
          <w:lang w:val="en-US" w:eastAsia="zh-CN"/>
        </w:rPr>
      </w:pPr>
      <w:r>
        <w:rPr>
          <w:rFonts w:hint="eastAsia" w:ascii="Times New Roman" w:hAnsi="Times New Roman" w:cs="Times New Roman"/>
          <w:color w:val="0000FF"/>
          <w:sz w:val="24"/>
        </w:rPr>
        <w:t>（4）</w:t>
      </w:r>
      <w:r>
        <w:rPr>
          <w:rFonts w:hint="eastAsia" w:ascii="Times New Roman" w:hAnsi="Times New Roman" w:cs="Times New Roman"/>
          <w:color w:val="0000FF"/>
          <w:sz w:val="24"/>
          <w:lang w:val="en-US" w:eastAsia="zh-CN"/>
        </w:rPr>
        <w:t>完整的系统施工图纸及配套BIM演示图（投标单位可根据图纸进行优化）</w:t>
      </w:r>
    </w:p>
    <w:p>
      <w:pPr>
        <w:spacing w:line="360" w:lineRule="auto"/>
        <w:ind w:firstLine="480" w:firstLineChars="200"/>
        <w:rPr>
          <w:rFonts w:hint="default" w:ascii="Times New Roman" w:hAnsi="Times New Roman" w:cs="Times New Roman"/>
          <w:color w:val="0000FF"/>
          <w:sz w:val="24"/>
          <w:lang w:val="en-US" w:eastAsia="zh-CN"/>
        </w:rPr>
      </w:pPr>
      <w:r>
        <w:rPr>
          <w:rFonts w:hint="eastAsia" w:ascii="Times New Roman" w:hAnsi="Times New Roman" w:cs="Times New Roman"/>
          <w:color w:val="0000FF"/>
          <w:sz w:val="24"/>
          <w:lang w:val="en-US" w:eastAsia="zh-CN"/>
        </w:rPr>
        <w:t>（5）项目施工进度表及与土建单位配套工作内容（提供交接工作面明细）；与配套实验室建设项目施工进度表</w:t>
      </w:r>
    </w:p>
    <w:p>
      <w:pPr>
        <w:spacing w:line="360" w:lineRule="auto"/>
        <w:ind w:firstLine="480" w:firstLineChars="200"/>
        <w:rPr>
          <w:sz w:val="24"/>
        </w:rPr>
      </w:pPr>
      <w:r>
        <w:rPr>
          <w:rFonts w:hint="eastAsia"/>
          <w:sz w:val="24"/>
        </w:rPr>
        <w:t>（</w:t>
      </w:r>
      <w:r>
        <w:rPr>
          <w:sz w:val="24"/>
        </w:rPr>
        <w:t>6</w:t>
      </w:r>
      <w:r>
        <w:rPr>
          <w:rFonts w:hint="eastAsia"/>
          <w:sz w:val="24"/>
        </w:rPr>
        <w:t>）售后服务承诺书或技术协议书</w:t>
      </w:r>
    </w:p>
    <w:p>
      <w:pPr>
        <w:spacing w:line="360" w:lineRule="auto"/>
        <w:ind w:firstLine="480" w:firstLineChars="200"/>
        <w:rPr>
          <w:sz w:val="24"/>
        </w:rPr>
      </w:pPr>
      <w:r>
        <w:rPr>
          <w:rFonts w:hint="eastAsia"/>
          <w:sz w:val="24"/>
        </w:rPr>
        <w:t>（</w:t>
      </w:r>
      <w:r>
        <w:rPr>
          <w:sz w:val="24"/>
        </w:rPr>
        <w:t>7</w:t>
      </w:r>
      <w:r>
        <w:rPr>
          <w:rFonts w:hint="eastAsia"/>
          <w:sz w:val="24"/>
        </w:rPr>
        <w:t>）供应商近三年以来与本次招标货物同类产品的销售业绩（合同复印件，原件备查）</w:t>
      </w:r>
    </w:p>
    <w:p>
      <w:pPr>
        <w:spacing w:line="360" w:lineRule="auto"/>
        <w:ind w:firstLine="480" w:firstLineChars="200"/>
        <w:rPr>
          <w:b/>
          <w:sz w:val="24"/>
        </w:rPr>
      </w:pPr>
      <w:r>
        <w:rPr>
          <w:rFonts w:hint="eastAsia"/>
          <w:sz w:val="24"/>
          <w:lang w:eastAsia="zh-CN"/>
        </w:rPr>
        <w:t>（</w:t>
      </w:r>
      <w:r>
        <w:rPr>
          <w:rFonts w:hint="eastAsia"/>
          <w:sz w:val="24"/>
          <w:lang w:val="en-US" w:eastAsia="zh-CN"/>
        </w:rPr>
        <w:t>8</w:t>
      </w:r>
      <w:r>
        <w:rPr>
          <w:rFonts w:hint="eastAsia"/>
          <w:sz w:val="24"/>
          <w:lang w:eastAsia="zh-CN"/>
        </w:rPr>
        <w:t>）</w:t>
      </w:r>
      <w:r>
        <w:rPr>
          <w:rFonts w:hint="eastAsia"/>
          <w:sz w:val="24"/>
        </w:rPr>
        <w:t>投标产品宣传彩页、合格文件、技术资料等</w:t>
      </w:r>
    </w:p>
    <w:p>
      <w:pPr>
        <w:spacing w:line="360" w:lineRule="auto"/>
        <w:ind w:firstLine="480" w:firstLineChars="200"/>
        <w:rPr>
          <w:b/>
          <w:sz w:val="24"/>
        </w:rPr>
      </w:pPr>
      <w:r>
        <w:rPr>
          <w:rFonts w:hint="eastAsia"/>
          <w:sz w:val="24"/>
          <w:lang w:eastAsia="zh-CN"/>
        </w:rPr>
        <w:t>（</w:t>
      </w:r>
      <w:r>
        <w:rPr>
          <w:rFonts w:hint="eastAsia"/>
          <w:sz w:val="24"/>
          <w:lang w:val="en-US" w:eastAsia="zh-CN"/>
        </w:rPr>
        <w:t>9</w:t>
      </w:r>
      <w:r>
        <w:rPr>
          <w:rFonts w:hint="eastAsia"/>
          <w:sz w:val="24"/>
          <w:lang w:eastAsia="zh-CN"/>
        </w:rPr>
        <w:t>）</w:t>
      </w:r>
      <w:r>
        <w:rPr>
          <w:rFonts w:hint="eastAsia"/>
          <w:sz w:val="24"/>
        </w:rPr>
        <w:t>供应商认为需要陈述的其他内容</w:t>
      </w:r>
    </w:p>
    <w:p>
      <w:pPr>
        <w:spacing w:line="360" w:lineRule="auto"/>
        <w:ind w:firstLine="590" w:firstLineChars="245"/>
        <w:rPr>
          <w:b/>
          <w:sz w:val="24"/>
        </w:rPr>
      </w:pPr>
      <w:r>
        <w:rPr>
          <w:b/>
          <w:sz w:val="24"/>
        </w:rPr>
        <w:t xml:space="preserve">2.3. </w:t>
      </w:r>
      <w:r>
        <w:rPr>
          <w:rFonts w:hint="eastAsia"/>
          <w:sz w:val="24"/>
        </w:rPr>
        <w:t>投标文件的形式及签署</w:t>
      </w:r>
    </w:p>
    <w:p>
      <w:pPr>
        <w:spacing w:line="360" w:lineRule="auto"/>
        <w:ind w:firstLine="480" w:firstLineChars="200"/>
        <w:rPr>
          <w:sz w:val="24"/>
        </w:rPr>
      </w:pPr>
      <w:r>
        <w:rPr>
          <w:rFonts w:hint="eastAsia"/>
          <w:sz w:val="24"/>
        </w:rPr>
        <w:t>（</w:t>
      </w:r>
      <w:r>
        <w:rPr>
          <w:sz w:val="24"/>
        </w:rPr>
        <w:t>1</w:t>
      </w:r>
      <w:r>
        <w:rPr>
          <w:rFonts w:hint="eastAsia"/>
          <w:sz w:val="24"/>
        </w:rPr>
        <w:t>）供应商需提交商务文件一（报价）正、副本各</w:t>
      </w:r>
      <w:r>
        <w:rPr>
          <w:sz w:val="24"/>
        </w:rPr>
        <w:t>1</w:t>
      </w:r>
      <w:r>
        <w:rPr>
          <w:rFonts w:hint="eastAsia"/>
          <w:sz w:val="24"/>
        </w:rPr>
        <w:t>份，商务文件二（资格证明）正本</w:t>
      </w:r>
      <w:r>
        <w:rPr>
          <w:sz w:val="24"/>
        </w:rPr>
        <w:t>1</w:t>
      </w:r>
      <w:r>
        <w:rPr>
          <w:rFonts w:hint="eastAsia"/>
          <w:sz w:val="24"/>
        </w:rPr>
        <w:t>份，技术文件正本</w:t>
      </w:r>
      <w:r>
        <w:rPr>
          <w:sz w:val="24"/>
        </w:rPr>
        <w:t>1</w:t>
      </w:r>
      <w:r>
        <w:rPr>
          <w:rFonts w:hint="eastAsia"/>
          <w:sz w:val="24"/>
        </w:rPr>
        <w:t>份、副本</w:t>
      </w:r>
      <w:r>
        <w:rPr>
          <w:sz w:val="24"/>
        </w:rPr>
        <w:t>4</w:t>
      </w:r>
      <w:r>
        <w:rPr>
          <w:rFonts w:hint="eastAsia"/>
          <w:sz w:val="24"/>
        </w:rPr>
        <w:t>份，商务文件一（报价）、商务文件二（资格证明）和技术文件须分开装并在</w:t>
      </w:r>
      <w:r>
        <w:rPr>
          <w:rFonts w:hint="eastAsia"/>
          <w:b/>
          <w:sz w:val="24"/>
        </w:rPr>
        <w:t>投标文件的封面上</w:t>
      </w:r>
      <w:r>
        <w:rPr>
          <w:rFonts w:hint="eastAsia"/>
          <w:sz w:val="24"/>
        </w:rPr>
        <w:t>明确标明商务文件一（报价）、商务文件二（资格证明）和技术文件以及正本和副本。如投标文件正本与副本有不同之处，以正本为准。</w:t>
      </w:r>
    </w:p>
    <w:p>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pPr>
        <w:spacing w:line="360" w:lineRule="auto"/>
        <w:ind w:firstLine="470" w:firstLineChars="196"/>
        <w:rPr>
          <w:sz w:val="24"/>
        </w:rPr>
      </w:pPr>
      <w:r>
        <w:rPr>
          <w:rFonts w:hint="eastAsia"/>
          <w:sz w:val="24"/>
        </w:rPr>
        <w:t>投标人应将投标文件用封套加以密封，在封口处粘贴密封条，盖骑缝公章，并在封套上标明：</w:t>
      </w:r>
    </w:p>
    <w:p>
      <w:pPr>
        <w:spacing w:line="360" w:lineRule="auto"/>
        <w:ind w:firstLine="960" w:firstLineChars="400"/>
        <w:rPr>
          <w:rFonts w:hint="eastAsia" w:eastAsia="宋体"/>
          <w:sz w:val="24"/>
          <w:lang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rPr>
        <w:t>资产与</w:t>
      </w:r>
      <w:r>
        <w:rPr>
          <w:rFonts w:hint="eastAsia"/>
          <w:sz w:val="24"/>
          <w:lang w:val="en-US" w:eastAsia="zh-CN"/>
        </w:rPr>
        <w:t>基建处</w:t>
      </w:r>
    </w:p>
    <w:p>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pPr>
        <w:spacing w:line="360" w:lineRule="auto"/>
        <w:ind w:firstLine="960" w:firstLineChars="400"/>
        <w:rPr>
          <w:b/>
          <w:sz w:val="24"/>
        </w:rPr>
      </w:pPr>
      <w:r>
        <w:rPr>
          <w:rFonts w:hint="eastAsia"/>
          <w:sz w:val="24"/>
        </w:rPr>
        <w:t>（</w:t>
      </w:r>
      <w:r>
        <w:rPr>
          <w:sz w:val="24"/>
        </w:rPr>
        <w:t>6</w:t>
      </w:r>
      <w:r>
        <w:rPr>
          <w:rFonts w:hint="eastAsia"/>
          <w:sz w:val="24"/>
        </w:rPr>
        <w:t>）开标之前不得启封</w:t>
      </w:r>
    </w:p>
    <w:p>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pPr>
        <w:spacing w:line="360" w:lineRule="auto"/>
        <w:rPr>
          <w:b/>
          <w:sz w:val="24"/>
        </w:rPr>
      </w:pPr>
      <w:r>
        <w:rPr>
          <w:rFonts w:hint="eastAsia"/>
          <w:b/>
          <w:sz w:val="24"/>
        </w:rPr>
        <w:t>三、投标细则</w:t>
      </w:r>
    </w:p>
    <w:p>
      <w:pPr>
        <w:spacing w:line="360" w:lineRule="auto"/>
        <w:ind w:firstLine="472" w:firstLineChars="196"/>
        <w:rPr>
          <w:b/>
          <w:sz w:val="24"/>
        </w:rPr>
      </w:pPr>
      <w:r>
        <w:rPr>
          <w:b/>
          <w:sz w:val="24"/>
        </w:rPr>
        <w:t xml:space="preserve">3.1. </w:t>
      </w:r>
      <w:r>
        <w:rPr>
          <w:rFonts w:hint="eastAsia"/>
          <w:sz w:val="24"/>
        </w:rPr>
        <w:t>投标货物</w:t>
      </w:r>
    </w:p>
    <w:p>
      <w:pPr>
        <w:spacing w:line="360" w:lineRule="auto"/>
        <w:ind w:firstLine="470" w:firstLineChars="196"/>
        <w:rPr>
          <w:sz w:val="24"/>
        </w:rPr>
      </w:pPr>
      <w:r>
        <w:rPr>
          <w:rFonts w:hint="eastAsia" w:ascii="宋体"/>
          <w:sz w:val="24"/>
          <w:lang w:val="zh-CN"/>
        </w:rPr>
        <w:t>投标货物必须是全新、未使用过的原装合格正品，完全符合招标文件规定的规格、性能和质量的要求，达到国家或行业规定的标准，属于国家强制认证的产品的必须通过认证。</w:t>
      </w:r>
    </w:p>
    <w:p>
      <w:pPr>
        <w:spacing w:line="360" w:lineRule="auto"/>
        <w:ind w:firstLine="472" w:firstLineChars="196"/>
        <w:rPr>
          <w:b/>
          <w:sz w:val="24"/>
        </w:rPr>
      </w:pPr>
      <w:r>
        <w:rPr>
          <w:b/>
          <w:sz w:val="24"/>
        </w:rPr>
        <w:t xml:space="preserve">3.2. </w:t>
      </w:r>
      <w:r>
        <w:rPr>
          <w:rFonts w:hint="eastAsia"/>
          <w:sz w:val="24"/>
        </w:rPr>
        <w:t>投标报价</w:t>
      </w:r>
    </w:p>
    <w:p>
      <w:pPr>
        <w:spacing w:line="360" w:lineRule="auto"/>
        <w:ind w:firstLine="480" w:firstLineChars="200"/>
        <w:rPr>
          <w:rFonts w:hint="eastAsia"/>
          <w:sz w:val="24"/>
        </w:rPr>
      </w:pPr>
      <w:r>
        <w:rPr>
          <w:rFonts w:hint="eastAsia"/>
          <w:color w:val="auto"/>
          <w:sz w:val="24"/>
          <w:lang w:val="en-US" w:eastAsia="zh-CN"/>
        </w:rPr>
        <w:t>（1）</w:t>
      </w:r>
      <w:r>
        <w:rPr>
          <w:rFonts w:hint="eastAsia"/>
          <w:color w:val="auto"/>
          <w:sz w:val="24"/>
          <w:lang w:val="zh-CN"/>
        </w:rPr>
        <w:t>若本招标文件中的设备、软件</w:t>
      </w:r>
      <w:r>
        <w:rPr>
          <w:rFonts w:hint="eastAsia"/>
          <w:sz w:val="24"/>
          <w:lang w:val="zh-CN"/>
        </w:rPr>
        <w:t>产品等方面的配置或要求中出现不合理或不完整的问题时，投标人应在领取招标文件后3日内以书面形式提出，招标人将根据实际情况向所有投标人重新发送补充说明。</w:t>
      </w:r>
      <w:r>
        <w:rPr>
          <w:rFonts w:hint="eastAsia"/>
          <w:sz w:val="24"/>
          <w:lang w:val="en-GB"/>
        </w:rPr>
        <w:t xml:space="preserve"> </w:t>
      </w:r>
    </w:p>
    <w:p>
      <w:pPr>
        <w:spacing w:line="360" w:lineRule="auto"/>
        <w:ind w:firstLine="480" w:firstLineChars="200"/>
        <w:rPr>
          <w:rFonts w:hint="eastAsia"/>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交货价，其中应包含运输、搬运、安装调试、保修等全部费用，以人民币报价。</w:t>
      </w:r>
    </w:p>
    <w:p>
      <w:pPr>
        <w:spacing w:line="360" w:lineRule="auto"/>
        <w:ind w:firstLine="480" w:firstLineChars="200"/>
        <w:rPr>
          <w:rFonts w:hint="eastAsia" w:eastAsia="宋体"/>
          <w:lang w:eastAsia="zh-CN"/>
        </w:rPr>
      </w:pPr>
      <w:r>
        <w:rPr>
          <w:rFonts w:hint="eastAsia"/>
          <w:sz w:val="24"/>
          <w:lang w:val="zh-CN" w:eastAsia="zh-CN"/>
        </w:rPr>
        <w:t>（</w:t>
      </w:r>
      <w:r>
        <w:rPr>
          <w:rFonts w:hint="eastAsia"/>
          <w:sz w:val="24"/>
          <w:lang w:val="en-US" w:eastAsia="zh-CN"/>
        </w:rPr>
        <w:t>3</w:t>
      </w:r>
      <w:r>
        <w:rPr>
          <w:rFonts w:hint="eastAsia"/>
          <w:sz w:val="24"/>
          <w:lang w:val="zh-CN" w:eastAsia="zh-CN"/>
        </w:rPr>
        <w:t>）</w:t>
      </w:r>
      <w:r>
        <w:rPr>
          <w:rFonts w:hint="eastAsia"/>
          <w:sz w:val="24"/>
          <w:lang w:val="en-GB"/>
        </w:rPr>
        <w:t>本项目不接受任何有选择的报价。</w:t>
      </w:r>
    </w:p>
    <w:p>
      <w:pPr>
        <w:spacing w:line="360" w:lineRule="auto"/>
        <w:ind w:firstLine="482" w:firstLineChars="200"/>
        <w:rPr>
          <w:b/>
          <w:sz w:val="24"/>
        </w:rPr>
      </w:pPr>
      <w:r>
        <w:rPr>
          <w:b/>
          <w:sz w:val="24"/>
        </w:rPr>
        <w:t xml:space="preserve">3.3. </w:t>
      </w:r>
      <w:r>
        <w:rPr>
          <w:rFonts w:hint="eastAsia"/>
          <w:sz w:val="24"/>
        </w:rPr>
        <w:t>投标文件的递交</w:t>
      </w:r>
    </w:p>
    <w:p>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rPr>
        <w:t>主校区</w:t>
      </w:r>
      <w:r>
        <w:rPr>
          <w:rFonts w:hint="eastAsia" w:ascii="宋体" w:hAnsi="宋体" w:cs="宋体"/>
          <w:spacing w:val="2"/>
          <w:kern w:val="0"/>
          <w:sz w:val="24"/>
          <w:lang w:val="en-US" w:eastAsia="zh-CN"/>
        </w:rPr>
        <w:t>行政楼208</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逾期送达或未送达指定地点以及未按询价文件要求密封的投标文件，潜在投标人须自行承担相应风险。</w:t>
      </w:r>
    </w:p>
    <w:p>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pPr>
        <w:pageBreakBefore/>
        <w:spacing w:line="360" w:lineRule="auto"/>
        <w:ind w:firstLine="643" w:firstLineChars="200"/>
        <w:jc w:val="center"/>
        <w:rPr>
          <w:b/>
          <w:bCs/>
          <w:sz w:val="32"/>
          <w:szCs w:val="32"/>
        </w:rPr>
      </w:pPr>
      <w:r>
        <w:rPr>
          <w:rFonts w:hint="eastAsia"/>
          <w:b/>
          <w:bCs/>
          <w:sz w:val="32"/>
          <w:szCs w:val="32"/>
        </w:rPr>
        <w:t>第三部分 评标</w:t>
      </w:r>
    </w:p>
    <w:p>
      <w:pPr>
        <w:spacing w:line="360" w:lineRule="auto"/>
        <w:ind w:firstLine="480" w:firstLineChars="200"/>
        <w:rPr>
          <w:sz w:val="24"/>
        </w:rPr>
      </w:pPr>
      <w:r>
        <w:rPr>
          <w:rFonts w:hint="eastAsia"/>
          <w:bCs/>
          <w:sz w:val="24"/>
        </w:rPr>
        <w:t>一、</w:t>
      </w:r>
      <w:r>
        <w:rPr>
          <w:bCs/>
          <w:sz w:val="24"/>
        </w:rPr>
        <w:t xml:space="preserve"> </w:t>
      </w:r>
      <w:r>
        <w:rPr>
          <w:rFonts w:hint="eastAsia"/>
          <w:sz w:val="24"/>
        </w:rPr>
        <w:t>招标人按规定的时间和地点进行公开开标，</w:t>
      </w:r>
      <w:r>
        <w:rPr>
          <w:rFonts w:hint="eastAsia"/>
          <w:b/>
          <w:bCs/>
          <w:sz w:val="24"/>
        </w:rPr>
        <w:t>投标人根据招标人通知派代表（持授权代表身份证明）参加</w:t>
      </w:r>
      <w:r>
        <w:rPr>
          <w:rFonts w:hint="eastAsia"/>
          <w:b/>
          <w:bCs/>
          <w:sz w:val="24"/>
          <w:lang w:eastAsia="zh-CN"/>
        </w:rPr>
        <w:t>，</w:t>
      </w:r>
      <w:r>
        <w:rPr>
          <w:rFonts w:hint="eastAsia"/>
          <w:b/>
          <w:bCs/>
          <w:sz w:val="24"/>
          <w:lang w:val="en-US" w:eastAsia="zh-CN"/>
        </w:rPr>
        <w:t>对投标项目进行演示说明</w:t>
      </w:r>
      <w:r>
        <w:rPr>
          <w:rFonts w:hint="eastAsia"/>
          <w:b/>
          <w:bCs/>
          <w:sz w:val="24"/>
        </w:rPr>
        <w:t>。</w:t>
      </w:r>
      <w:r>
        <w:rPr>
          <w:rFonts w:hint="eastAsia" w:ascii="Times New Roman" w:hAnsi="Times New Roman" w:eastAsia="宋体" w:cs="Times New Roman"/>
          <w:b/>
          <w:bCs/>
          <w:sz w:val="24"/>
        </w:rPr>
        <w:t>投标人未派代表参加开标的，视为默认接受开标结果。</w:t>
      </w:r>
    </w:p>
    <w:p>
      <w:pPr>
        <w:spacing w:line="360" w:lineRule="auto"/>
        <w:ind w:firstLine="480" w:firstLineChars="200"/>
        <w:rPr>
          <w:bCs/>
          <w:sz w:val="24"/>
        </w:rPr>
      </w:pPr>
      <w:r>
        <w:rPr>
          <w:rFonts w:hint="eastAsia"/>
          <w:bCs/>
          <w:sz w:val="24"/>
        </w:rPr>
        <w:t>二、</w:t>
      </w:r>
      <w:r>
        <w:rPr>
          <w:bCs/>
          <w:sz w:val="24"/>
        </w:rPr>
        <w:t xml:space="preserve"> </w:t>
      </w:r>
      <w:r>
        <w:rPr>
          <w:rFonts w:hint="eastAsia" w:ascii="宋体"/>
          <w:bCs/>
          <w:sz w:val="24"/>
          <w:lang w:val="zh-CN"/>
        </w:rPr>
        <w:t>开标时，</w:t>
      </w:r>
      <w:r>
        <w:rPr>
          <w:rFonts w:hint="eastAsia"/>
          <w:bCs/>
          <w:sz w:val="24"/>
        </w:rPr>
        <w:t>现场检查投标文件的密封情况，经确认无误后，由工作人员当众拆封，宣读投标人名称、投标价格、交货期等投标文件的主要内容。</w:t>
      </w:r>
    </w:p>
    <w:p>
      <w:pPr>
        <w:spacing w:line="360" w:lineRule="auto"/>
        <w:ind w:firstLine="480" w:firstLineChars="200"/>
        <w:rPr>
          <w:bCs/>
          <w:sz w:val="24"/>
        </w:rPr>
      </w:pPr>
      <w:r>
        <w:rPr>
          <w:rFonts w:hint="eastAsia"/>
          <w:bCs/>
          <w:sz w:val="24"/>
        </w:rPr>
        <w:t>三、</w:t>
      </w:r>
      <w:r>
        <w:rPr>
          <w:bCs/>
          <w:sz w:val="24"/>
        </w:rPr>
        <w:t xml:space="preserve"> </w:t>
      </w:r>
      <w:r>
        <w:rPr>
          <w:rFonts w:hint="eastAsia"/>
          <w:bCs/>
          <w:sz w:val="24"/>
        </w:rPr>
        <w:t>招标人组织用户代表和</w:t>
      </w:r>
      <w:r>
        <w:rPr>
          <w:rFonts w:hint="eastAsia" w:ascii="宋体"/>
          <w:bCs/>
          <w:sz w:val="24"/>
          <w:lang w:val="zh-CN"/>
        </w:rPr>
        <w:t>有关技术、经济方面的</w:t>
      </w:r>
      <w:r>
        <w:rPr>
          <w:rFonts w:hint="eastAsia"/>
          <w:bCs/>
          <w:sz w:val="24"/>
        </w:rPr>
        <w:t>专家组成评标小组进行评标。</w:t>
      </w:r>
    </w:p>
    <w:p>
      <w:pPr>
        <w:spacing w:line="360" w:lineRule="auto"/>
        <w:ind w:firstLine="480" w:firstLineChars="200"/>
        <w:rPr>
          <w:bCs/>
          <w:sz w:val="24"/>
        </w:rPr>
      </w:pPr>
      <w:r>
        <w:rPr>
          <w:rFonts w:hint="eastAsia"/>
          <w:bCs/>
          <w:sz w:val="24"/>
        </w:rPr>
        <w:t>四、</w:t>
      </w:r>
      <w:r>
        <w:rPr>
          <w:bCs/>
          <w:sz w:val="24"/>
        </w:rPr>
        <w:t xml:space="preserve"> </w:t>
      </w:r>
      <w:r>
        <w:rPr>
          <w:rFonts w:hint="eastAsia"/>
          <w:bCs/>
          <w:sz w:val="24"/>
        </w:rPr>
        <w:t>在详细评标之前，招标人和评委要对投标人的</w:t>
      </w:r>
      <w:r>
        <w:rPr>
          <w:rFonts w:hint="eastAsia" w:ascii="宋体" w:hAnsi="宋体"/>
          <w:bCs/>
          <w:sz w:val="24"/>
        </w:rPr>
        <w:t>投标资格以</w:t>
      </w:r>
      <w:r>
        <w:rPr>
          <w:rFonts w:hint="eastAsia"/>
          <w:bCs/>
          <w:sz w:val="24"/>
        </w:rPr>
        <w:t>及投标是否对招标文件的实质性要求和条件做出响应进行审查。</w:t>
      </w:r>
    </w:p>
    <w:p>
      <w:pPr>
        <w:spacing w:line="360" w:lineRule="auto"/>
        <w:ind w:firstLine="480" w:firstLineChars="200"/>
        <w:rPr>
          <w:bCs/>
          <w:sz w:val="24"/>
        </w:rPr>
      </w:pPr>
      <w:r>
        <w:rPr>
          <w:rFonts w:hint="eastAsia"/>
          <w:bCs/>
          <w:sz w:val="24"/>
        </w:rPr>
        <w:t>五、</w:t>
      </w:r>
      <w:r>
        <w:rPr>
          <w:bCs/>
          <w:sz w:val="24"/>
        </w:rPr>
        <w:t xml:space="preserve"> </w:t>
      </w:r>
      <w:r>
        <w:rPr>
          <w:rFonts w:hint="eastAsia"/>
          <w:bCs/>
          <w:sz w:val="24"/>
        </w:rPr>
        <w:t>对招标文件的实质性要求和条件做出响应的投标应该是与招标文件要求的全部条款、条件、指标和规格相符，没有重大偏离的投标。招标人和评委判定投标的响应性质根据投标本身的内容，而不寻求外部的证据，投标人不得通过修正或撤销不符合要求的偏离从而使其投标成为实质上响应的投标。</w:t>
      </w:r>
    </w:p>
    <w:p>
      <w:pPr>
        <w:spacing w:line="353" w:lineRule="auto"/>
        <w:ind w:firstLine="480" w:firstLineChars="200"/>
        <w:rPr>
          <w:bCs/>
          <w:sz w:val="24"/>
        </w:rPr>
      </w:pPr>
      <w:r>
        <w:rPr>
          <w:rFonts w:hint="eastAsia"/>
          <w:bCs/>
          <w:sz w:val="24"/>
        </w:rPr>
        <w:t>六、</w:t>
      </w:r>
      <w:r>
        <w:rPr>
          <w:bCs/>
          <w:sz w:val="24"/>
        </w:rPr>
        <w:t xml:space="preserve"> </w:t>
      </w:r>
      <w:r>
        <w:rPr>
          <w:rFonts w:hint="eastAsia"/>
          <w:bCs/>
          <w:sz w:val="24"/>
        </w:rPr>
        <w:t>评标小组认为有必要时，将要求投标人述标或对投标文件中某些内容作出澄清或说明，但不接受投标人主动提出的澄清和说明。</w:t>
      </w:r>
    </w:p>
    <w:p>
      <w:pPr>
        <w:spacing w:line="353" w:lineRule="auto"/>
        <w:ind w:firstLine="480" w:firstLineChars="200"/>
        <w:rPr>
          <w:bCs/>
          <w:sz w:val="24"/>
        </w:rPr>
      </w:pPr>
      <w:r>
        <w:rPr>
          <w:rFonts w:hint="eastAsia"/>
          <w:bCs/>
          <w:sz w:val="24"/>
        </w:rPr>
        <w:t>七、</w:t>
      </w:r>
      <w:r>
        <w:rPr>
          <w:bCs/>
          <w:sz w:val="24"/>
        </w:rPr>
        <w:t xml:space="preserve"> </w:t>
      </w:r>
      <w:r>
        <w:rPr>
          <w:rFonts w:hint="eastAsia"/>
          <w:bCs/>
          <w:sz w:val="24"/>
        </w:rPr>
        <w:t>评标小组将从投标人的投标报价、产品质量、技术方案、售后服务、企业状况等经济、技术和商务及其他优惠条件等方面，依据评标方法，对所有投标文件进行综合评审。</w:t>
      </w:r>
    </w:p>
    <w:p>
      <w:pPr>
        <w:spacing w:line="353" w:lineRule="auto"/>
        <w:ind w:firstLine="482" w:firstLineChars="200"/>
        <w:rPr>
          <w:b/>
          <w:sz w:val="24"/>
        </w:rPr>
      </w:pPr>
      <w:r>
        <w:rPr>
          <w:rFonts w:hint="eastAsia"/>
          <w:b/>
          <w:sz w:val="24"/>
        </w:rPr>
        <w:t>八、评标方法及评分标准</w:t>
      </w:r>
    </w:p>
    <w:p>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pPr>
        <w:spacing w:line="360" w:lineRule="auto"/>
        <w:ind w:firstLine="482" w:firstLineChars="200"/>
        <w:jc w:val="center"/>
        <w:rPr>
          <w:rFonts w:ascii="宋体"/>
          <w:bCs/>
          <w:color w:val="auto"/>
          <w:sz w:val="24"/>
        </w:rPr>
      </w:pPr>
      <w:r>
        <w:rPr>
          <w:b/>
          <w:sz w:val="24"/>
        </w:rPr>
        <w:br w:type="page"/>
      </w:r>
      <w:r>
        <w:rPr>
          <w:rFonts w:hint="eastAsia" w:ascii="宋体" w:hAnsi="宋体"/>
          <w:b/>
          <w:color w:val="auto"/>
          <w:sz w:val="24"/>
        </w:rPr>
        <w:t>评分标准</w:t>
      </w:r>
    </w:p>
    <w:tbl>
      <w:tblPr>
        <w:tblStyle w:val="13"/>
        <w:tblW w:w="10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18"/>
        <w:gridCol w:w="1276"/>
        <w:gridCol w:w="7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spacing w:line="360" w:lineRule="auto"/>
              <w:jc w:val="center"/>
              <w:rPr>
                <w:rFonts w:ascii="宋体" w:hAnsi="宋体" w:cs="宋体"/>
                <w:b/>
                <w:bCs/>
                <w:color w:val="auto"/>
                <w:szCs w:val="21"/>
              </w:rPr>
            </w:pPr>
            <w:bookmarkStart w:id="0" w:name="_Hlk25755530"/>
            <w:r>
              <w:rPr>
                <w:rFonts w:hint="eastAsia" w:ascii="宋体" w:hAnsi="宋体" w:cs="宋体"/>
                <w:b/>
                <w:bCs/>
                <w:color w:val="auto"/>
                <w:szCs w:val="21"/>
              </w:rPr>
              <w:t>评审因素</w:t>
            </w:r>
          </w:p>
        </w:tc>
        <w:tc>
          <w:tcPr>
            <w:tcW w:w="718" w:type="dxa"/>
            <w:vAlign w:val="center"/>
          </w:tcPr>
          <w:p>
            <w:pPr>
              <w:spacing w:line="360" w:lineRule="auto"/>
              <w:jc w:val="center"/>
              <w:rPr>
                <w:rFonts w:ascii="宋体" w:hAnsi="宋体" w:cs="宋体"/>
                <w:b/>
                <w:bCs/>
                <w:color w:val="auto"/>
                <w:szCs w:val="21"/>
              </w:rPr>
            </w:pPr>
            <w:r>
              <w:rPr>
                <w:rFonts w:hint="eastAsia" w:ascii="宋体" w:hAnsi="宋体" w:cs="宋体"/>
                <w:b/>
                <w:bCs/>
                <w:color w:val="auto"/>
                <w:szCs w:val="21"/>
              </w:rPr>
              <w:t>分值</w:t>
            </w:r>
          </w:p>
        </w:tc>
        <w:tc>
          <w:tcPr>
            <w:tcW w:w="8496" w:type="dxa"/>
            <w:gridSpan w:val="2"/>
            <w:vAlign w:val="center"/>
          </w:tcPr>
          <w:p>
            <w:pPr>
              <w:spacing w:line="360" w:lineRule="auto"/>
              <w:jc w:val="center"/>
              <w:rPr>
                <w:rFonts w:ascii="宋体" w:hAnsi="宋体" w:cs="宋体"/>
                <w:b/>
                <w:bCs/>
                <w:color w:val="auto"/>
                <w:szCs w:val="21"/>
              </w:rPr>
            </w:pPr>
            <w:r>
              <w:rPr>
                <w:rFonts w:hint="eastAsia" w:ascii="宋体" w:hAnsi="宋体" w:cs="宋体"/>
                <w:b/>
                <w:bCs/>
                <w:color w:val="auto"/>
                <w:szCs w:val="21"/>
              </w:rPr>
              <w:t>具体分值及评分标准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129"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价格分</w:t>
            </w:r>
          </w:p>
        </w:tc>
        <w:tc>
          <w:tcPr>
            <w:tcW w:w="718" w:type="dxa"/>
            <w:vAlign w:val="center"/>
          </w:tcPr>
          <w:p>
            <w:pPr>
              <w:spacing w:line="360" w:lineRule="auto"/>
              <w:jc w:val="center"/>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0</w:t>
            </w:r>
          </w:p>
        </w:tc>
        <w:tc>
          <w:tcPr>
            <w:tcW w:w="8496" w:type="dxa"/>
            <w:gridSpan w:val="2"/>
            <w:vAlign w:val="center"/>
          </w:tcPr>
          <w:p>
            <w:pPr>
              <w:ind w:left="-2" w:leftChars="-1" w:firstLine="420" w:firstLineChars="200"/>
              <w:rPr>
                <w:rFonts w:hint="eastAsia"/>
                <w:color w:val="auto"/>
              </w:rPr>
            </w:pPr>
            <w:r>
              <w:rPr>
                <w:rFonts w:hint="eastAsia"/>
                <w:color w:val="auto"/>
              </w:rPr>
              <w:t>采用算术平均价法：</w:t>
            </w:r>
          </w:p>
          <w:p>
            <w:pPr>
              <w:spacing w:line="240" w:lineRule="auto"/>
              <w:ind w:left="-2" w:leftChars="-1" w:firstLine="420" w:firstLineChars="200"/>
              <w:rPr>
                <w:rFonts w:hint="eastAsia" w:ascii="宋体" w:hAnsi="宋体" w:eastAsia="宋体" w:cs="宋体"/>
                <w:color w:val="auto"/>
              </w:rPr>
            </w:pPr>
            <w:r>
              <w:rPr>
                <w:rFonts w:hint="eastAsia" w:ascii="宋体" w:hAnsi="宋体" w:eastAsia="宋体" w:cs="宋体"/>
                <w:color w:val="auto"/>
              </w:rPr>
              <w:t>所有有效投标报价的算术平均值作为评标基准价，等于评标基准价的得基本分</w:t>
            </w:r>
            <w:r>
              <w:rPr>
                <w:rFonts w:hint="eastAsia" w:ascii="宋体" w:hAnsi="宋体" w:cs="宋体"/>
                <w:color w:val="auto"/>
                <w:lang w:val="en-US" w:eastAsia="zh-CN"/>
              </w:rPr>
              <w:t>30</w:t>
            </w:r>
            <w:r>
              <w:rPr>
                <w:rFonts w:hint="eastAsia" w:ascii="宋体" w:hAnsi="宋体" w:eastAsia="宋体" w:cs="宋体"/>
                <w:color w:val="auto"/>
              </w:rPr>
              <w:t>分。投标人的投标报价每高于评标基准价2%扣1分，扣完为止。投标人的投标报价每低于评标基准价2%加1分，最多加</w:t>
            </w:r>
            <w:r>
              <w:rPr>
                <w:rFonts w:hint="eastAsia" w:ascii="宋体" w:hAnsi="宋体" w:eastAsia="宋体" w:cs="宋体"/>
                <w:color w:val="auto"/>
                <w:lang w:val="en-US" w:eastAsia="zh-CN"/>
              </w:rPr>
              <w:t>10</w:t>
            </w:r>
            <w:r>
              <w:rPr>
                <w:rFonts w:hint="eastAsia" w:ascii="宋体" w:hAnsi="宋体" w:eastAsia="宋体" w:cs="宋体"/>
                <w:color w:val="auto"/>
              </w:rPr>
              <w:t>分。中间插值计算。</w:t>
            </w:r>
          </w:p>
          <w:p>
            <w:pPr>
              <w:rPr>
                <w:rFonts w:ascii="宋体" w:hAnsi="宋体" w:cs="等线"/>
                <w:color w:val="auto"/>
                <w:szCs w:val="21"/>
              </w:rPr>
            </w:pPr>
            <w:r>
              <w:rPr>
                <w:rFonts w:hint="eastAsia" w:ascii="宋体" w:hAnsi="宋体" w:eastAsia="宋体" w:cs="宋体"/>
                <w:color w:val="auto"/>
              </w:rPr>
              <w:t>评标委员会（评标小组）有权对疑为低于成本的报价提出质询，被质询的报价人应提供该报价价格的相关证明材料供评标委员会（评标小组）审查，未提供或提供的证明材料不能证明其报价价格是合理的，将被作为低于成本报价予以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29" w:type="dxa"/>
            <w:vMerge w:val="restart"/>
            <w:vAlign w:val="center"/>
          </w:tcPr>
          <w:p>
            <w:pPr>
              <w:spacing w:line="360" w:lineRule="auto"/>
              <w:jc w:val="center"/>
              <w:rPr>
                <w:rFonts w:ascii="宋体" w:hAnsi="宋体" w:cs="宋体"/>
                <w:color w:val="auto"/>
                <w:szCs w:val="21"/>
              </w:rPr>
            </w:pPr>
            <w:r>
              <w:rPr>
                <w:rFonts w:hint="eastAsia" w:ascii="宋体" w:hAnsi="宋体" w:cs="宋体"/>
                <w:color w:val="auto"/>
                <w:szCs w:val="21"/>
              </w:rPr>
              <w:t>技术分</w:t>
            </w:r>
          </w:p>
        </w:tc>
        <w:tc>
          <w:tcPr>
            <w:tcW w:w="718" w:type="dxa"/>
            <w:vMerge w:val="restart"/>
            <w:vAlign w:val="center"/>
          </w:tcPr>
          <w:p>
            <w:pPr>
              <w:spacing w:line="360" w:lineRule="auto"/>
              <w:jc w:val="center"/>
              <w:rPr>
                <w:rFonts w:hint="eastAsia" w:ascii="宋体" w:hAnsi="宋体" w:eastAsia="宋体" w:cs="宋体"/>
                <w:color w:val="auto"/>
                <w:szCs w:val="21"/>
                <w:lang w:eastAsia="zh-CN"/>
              </w:rPr>
            </w:pPr>
            <w:r>
              <w:rPr>
                <w:rFonts w:ascii="宋体" w:hAnsi="宋体" w:cs="宋体"/>
                <w:color w:val="auto"/>
                <w:szCs w:val="21"/>
              </w:rPr>
              <w:t>4</w:t>
            </w:r>
            <w:r>
              <w:rPr>
                <w:rFonts w:hint="eastAsia" w:ascii="宋体" w:hAnsi="宋体" w:cs="宋体"/>
                <w:color w:val="auto"/>
                <w:szCs w:val="21"/>
                <w:lang w:val="en-US" w:eastAsia="zh-CN"/>
              </w:rPr>
              <w:t>0</w:t>
            </w:r>
          </w:p>
        </w:tc>
        <w:tc>
          <w:tcPr>
            <w:tcW w:w="1276" w:type="dxa"/>
            <w:vAlign w:val="center"/>
          </w:tcPr>
          <w:p>
            <w:pPr>
              <w:jc w:val="center"/>
              <w:rPr>
                <w:rFonts w:ascii="宋体" w:hAnsi="宋体" w:cs="宋体"/>
                <w:color w:val="auto"/>
                <w:szCs w:val="21"/>
              </w:rPr>
            </w:pPr>
            <w:r>
              <w:rPr>
                <w:rFonts w:hint="eastAsia" w:ascii="宋体" w:hAnsi="宋体" w:cs="宋体"/>
                <w:color w:val="auto"/>
                <w:szCs w:val="21"/>
              </w:rPr>
              <w:t>技术要求（</w:t>
            </w:r>
            <w:r>
              <w:rPr>
                <w:rFonts w:ascii="宋体" w:hAnsi="宋体" w:cs="宋体"/>
                <w:color w:val="auto"/>
                <w:szCs w:val="21"/>
              </w:rPr>
              <w:t>3</w:t>
            </w:r>
            <w:r>
              <w:rPr>
                <w:rFonts w:hint="eastAsia" w:ascii="宋体" w:hAnsi="宋体" w:cs="宋体"/>
                <w:color w:val="auto"/>
                <w:szCs w:val="21"/>
              </w:rPr>
              <w:t>0）</w:t>
            </w:r>
          </w:p>
        </w:tc>
        <w:tc>
          <w:tcPr>
            <w:tcW w:w="7220" w:type="dxa"/>
            <w:vAlign w:val="center"/>
          </w:tcPr>
          <w:p>
            <w:pPr>
              <w:adjustRightInd w:val="0"/>
              <w:snapToGrid w:val="0"/>
              <w:ind w:firstLine="210" w:firstLineChars="100"/>
            </w:pPr>
            <w:r>
              <w:rPr>
                <w:rFonts w:hint="eastAsia"/>
              </w:rPr>
              <w:t>根据供应商的技术指标对招标文件的偏离度进行打分，具体由评委根据供应商的投标文件中《技术偏离表》及相关证明资料评审。招标文件中标注“★”的内容为实质性要求，有一项不符合的，作无效投标处理；其余参数符合或优于招标文件基本要求的得基准分30分；招标文件中标注“▲”号的技术参数，每有一项负偏离扣3分；其余技术参数负偏离的，每项扣1分；扣完为止。</w:t>
            </w:r>
          </w:p>
          <w:p>
            <w:pPr>
              <w:adjustRightInd w:val="0"/>
              <w:snapToGrid w:val="0"/>
              <w:ind w:firstLine="210" w:firstLineChars="100"/>
              <w:rPr>
                <w:rFonts w:hint="eastAsia" w:ascii="Times New Roman" w:hAnsi="Times New Roman" w:cs="Times New Roman"/>
              </w:rPr>
            </w:pPr>
            <w:r>
              <w:rPr>
                <w:rFonts w:hint="eastAsia"/>
              </w:rPr>
              <w:t>注</w:t>
            </w:r>
            <w:r>
              <w:rPr>
                <w:rFonts w:hint="eastAsia" w:ascii="Times New Roman" w:hAnsi="Times New Roman" w:cs="Times New Roman"/>
              </w:rPr>
              <w:t>：未提供技术条款要求提供的技术支持材料的，视为负偏离。</w:t>
            </w:r>
          </w:p>
          <w:p>
            <w:pPr>
              <w:adjustRightInd w:val="0"/>
              <w:snapToGrid w:val="0"/>
              <w:ind w:firstLine="210" w:firstLineChars="100"/>
            </w:pPr>
            <w:r>
              <w:rPr>
                <w:rFonts w:hint="eastAsia" w:ascii="Times New Roman" w:hAnsi="Times New Roman" w:cs="Times New Roman"/>
                <w:color w:val="0070C0"/>
                <w:lang w:val="en-US" w:eastAsia="zh-CN"/>
              </w:rPr>
              <w:t>未提供完整施工图纸、BIM演示图及土建施工交界面的，视为负偏离。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29" w:type="dxa"/>
            <w:vMerge w:val="continue"/>
            <w:vAlign w:val="center"/>
          </w:tcPr>
          <w:p>
            <w:pPr>
              <w:spacing w:line="360" w:lineRule="auto"/>
              <w:jc w:val="center"/>
              <w:rPr>
                <w:rFonts w:ascii="宋体" w:hAnsi="宋体" w:cs="宋体"/>
                <w:color w:val="auto"/>
                <w:szCs w:val="21"/>
              </w:rPr>
            </w:pPr>
          </w:p>
        </w:tc>
        <w:tc>
          <w:tcPr>
            <w:tcW w:w="718" w:type="dxa"/>
            <w:vMerge w:val="continue"/>
            <w:vAlign w:val="center"/>
          </w:tcPr>
          <w:p>
            <w:pPr>
              <w:spacing w:line="360" w:lineRule="auto"/>
              <w:jc w:val="center"/>
              <w:rPr>
                <w:rFonts w:ascii="宋体" w:hAnsi="宋体" w:cs="宋体"/>
                <w:color w:val="auto"/>
                <w:szCs w:val="21"/>
              </w:rPr>
            </w:pPr>
          </w:p>
        </w:tc>
        <w:tc>
          <w:tcPr>
            <w:tcW w:w="1276" w:type="dxa"/>
            <w:vAlign w:val="center"/>
          </w:tcPr>
          <w:p>
            <w:pPr>
              <w:jc w:val="center"/>
              <w:rPr>
                <w:rFonts w:ascii="宋体" w:hAnsi="宋体"/>
                <w:color w:val="auto"/>
                <w:szCs w:val="21"/>
              </w:rPr>
            </w:pPr>
            <w:r>
              <w:rPr>
                <w:rFonts w:hint="eastAsia" w:ascii="宋体" w:hAnsi="宋体" w:cs="宋体"/>
                <w:color w:val="auto"/>
                <w:szCs w:val="21"/>
              </w:rPr>
              <w:t>项目实施方案（</w:t>
            </w:r>
            <w:r>
              <w:rPr>
                <w:rFonts w:ascii="宋体" w:hAnsi="宋体" w:cs="宋体"/>
                <w:color w:val="auto"/>
                <w:szCs w:val="21"/>
              </w:rPr>
              <w:t>1</w:t>
            </w:r>
            <w:r>
              <w:rPr>
                <w:rFonts w:hint="eastAsia" w:ascii="宋体" w:hAnsi="宋体" w:cs="宋体"/>
                <w:color w:val="auto"/>
                <w:szCs w:val="21"/>
              </w:rPr>
              <w:t>0）</w:t>
            </w:r>
          </w:p>
        </w:tc>
        <w:tc>
          <w:tcPr>
            <w:tcW w:w="7220" w:type="dxa"/>
            <w:vAlign w:val="center"/>
          </w:tcPr>
          <w:p>
            <w:pPr>
              <w:pStyle w:val="24"/>
              <w:rPr>
                <w:rFonts w:ascii="宋体" w:hAnsi="宋体"/>
                <w:color w:val="auto"/>
              </w:rPr>
            </w:pPr>
            <w:r>
              <w:rPr>
                <w:rFonts w:hint="eastAsia" w:ascii="宋体" w:hAnsi="宋体"/>
                <w:color w:val="auto"/>
              </w:rPr>
              <w:t>1.</w:t>
            </w:r>
            <w:r>
              <w:rPr>
                <w:rFonts w:hint="eastAsia" w:ascii="宋体" w:hAnsi="宋体" w:cs="Courier New"/>
                <w:bCs/>
                <w:color w:val="auto"/>
              </w:rPr>
              <w:t>供应商提供的平面</w:t>
            </w:r>
            <w:r>
              <w:rPr>
                <w:rFonts w:hint="eastAsia" w:ascii="宋体" w:hAnsi="宋体"/>
                <w:bCs/>
                <w:color w:val="auto"/>
              </w:rPr>
              <w:t>布置图、设备基础施工图、废气处理原理图、设备大样图、楼顶效果图</w:t>
            </w:r>
            <w:r>
              <w:rPr>
                <w:rFonts w:hint="eastAsia" w:ascii="宋体" w:hAnsi="宋体" w:cs="Courier New"/>
                <w:bCs/>
                <w:color w:val="auto"/>
              </w:rPr>
              <w:t>等的规范性、合理性情况，本项最高得</w:t>
            </w:r>
            <w:r>
              <w:rPr>
                <w:rFonts w:hint="eastAsia" w:ascii="宋体" w:hAnsi="宋体"/>
                <w:bCs/>
                <w:color w:val="auto"/>
              </w:rPr>
              <w:t>4</w:t>
            </w:r>
            <w:r>
              <w:rPr>
                <w:rFonts w:hint="eastAsia" w:ascii="宋体" w:hAnsi="宋体" w:cs="Courier New"/>
                <w:bCs/>
                <w:color w:val="auto"/>
              </w:rPr>
              <w:t>分。</w:t>
            </w:r>
          </w:p>
          <w:p>
            <w:pPr>
              <w:pStyle w:val="24"/>
              <w:rPr>
                <w:rFonts w:ascii="宋体" w:hAnsi="宋体"/>
                <w:color w:val="auto"/>
              </w:rPr>
            </w:pPr>
            <w:r>
              <w:rPr>
                <w:rFonts w:hint="eastAsia" w:ascii="宋体" w:hAnsi="宋体"/>
                <w:color w:val="auto"/>
              </w:rPr>
              <w:t>2.</w:t>
            </w:r>
            <w:r>
              <w:rPr>
                <w:rFonts w:hint="eastAsia" w:ascii="宋体" w:hAnsi="宋体" w:cs="Courier New"/>
                <w:bCs/>
                <w:color w:val="auto"/>
              </w:rPr>
              <w:t>供应商提供的施工方案、技术措施、进度安排、验收方案，尤其对关键工序和关键部位具有针对性，措施得力、经济、安全、可行，资料提供完整性等情况，本项最高得</w:t>
            </w:r>
            <w:r>
              <w:rPr>
                <w:rFonts w:hint="eastAsia" w:ascii="宋体" w:hAnsi="宋体"/>
                <w:bCs/>
                <w:color w:val="auto"/>
              </w:rPr>
              <w:t>4</w:t>
            </w:r>
            <w:r>
              <w:rPr>
                <w:rFonts w:hint="eastAsia" w:ascii="宋体" w:hAnsi="宋体" w:cs="Courier New"/>
                <w:bCs/>
                <w:color w:val="auto"/>
              </w:rPr>
              <w:t>分。</w:t>
            </w:r>
          </w:p>
          <w:p>
            <w:pPr>
              <w:rPr>
                <w:rFonts w:ascii="宋体" w:hAnsi="宋体"/>
                <w:color w:val="auto"/>
                <w:szCs w:val="21"/>
              </w:rPr>
            </w:pPr>
            <w:r>
              <w:rPr>
                <w:rFonts w:hint="eastAsia" w:ascii="宋体" w:hAnsi="宋体" w:cs="Courier New"/>
                <w:bCs/>
                <w:color w:val="auto"/>
                <w:szCs w:val="21"/>
              </w:rPr>
              <w:t>3.供应商提供的资源配备计划、投入的劳动力、机械设备等计划合理，与进度计划呼应，满足施工需要的情况，本项最高得2分。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29" w:type="dxa"/>
            <w:vMerge w:val="restart"/>
            <w:vAlign w:val="center"/>
          </w:tcPr>
          <w:p>
            <w:pPr>
              <w:spacing w:line="360" w:lineRule="auto"/>
              <w:jc w:val="center"/>
              <w:rPr>
                <w:rFonts w:ascii="宋体" w:hAnsi="宋体" w:cs="宋体"/>
                <w:color w:val="auto"/>
                <w:szCs w:val="21"/>
              </w:rPr>
            </w:pPr>
            <w:r>
              <w:rPr>
                <w:rFonts w:hint="eastAsia" w:ascii="宋体" w:hAnsi="宋体" w:cs="宋体"/>
                <w:color w:val="auto"/>
                <w:szCs w:val="21"/>
              </w:rPr>
              <w:t>商务分</w:t>
            </w:r>
          </w:p>
        </w:tc>
        <w:tc>
          <w:tcPr>
            <w:tcW w:w="718" w:type="dxa"/>
            <w:vMerge w:val="restart"/>
            <w:vAlign w:val="center"/>
          </w:tcPr>
          <w:p>
            <w:pPr>
              <w:spacing w:line="360" w:lineRule="auto"/>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20</w:t>
            </w:r>
          </w:p>
        </w:tc>
        <w:tc>
          <w:tcPr>
            <w:tcW w:w="1276" w:type="dxa"/>
            <w:vAlign w:val="center"/>
          </w:tcPr>
          <w:p>
            <w:pPr>
              <w:jc w:val="center"/>
              <w:rPr>
                <w:rFonts w:ascii="宋体" w:hAnsi="宋体" w:cs="宋体"/>
                <w:color w:val="auto"/>
                <w:szCs w:val="21"/>
              </w:rPr>
            </w:pPr>
            <w:r>
              <w:rPr>
                <w:rFonts w:hint="eastAsia" w:ascii="宋体" w:hAnsi="宋体" w:cs="宋体"/>
                <w:color w:val="auto"/>
                <w:szCs w:val="21"/>
              </w:rPr>
              <w:t>售后服务（</w:t>
            </w:r>
            <w:r>
              <w:rPr>
                <w:rFonts w:ascii="宋体" w:hAnsi="宋体" w:cs="宋体"/>
                <w:color w:val="auto"/>
                <w:szCs w:val="21"/>
              </w:rPr>
              <w:t>3</w:t>
            </w:r>
            <w:r>
              <w:rPr>
                <w:rFonts w:hint="eastAsia" w:ascii="宋体" w:hAnsi="宋体" w:cs="宋体"/>
                <w:color w:val="auto"/>
                <w:szCs w:val="21"/>
              </w:rPr>
              <w:t>）</w:t>
            </w:r>
          </w:p>
        </w:tc>
        <w:tc>
          <w:tcPr>
            <w:tcW w:w="7220" w:type="dxa"/>
            <w:vAlign w:val="center"/>
          </w:tcPr>
          <w:p>
            <w:pPr>
              <w:pStyle w:val="24"/>
              <w:ind w:firstLine="210" w:firstLineChars="100"/>
              <w:rPr>
                <w:rFonts w:ascii="宋体" w:hAnsi="宋体"/>
                <w:color w:val="auto"/>
              </w:rPr>
            </w:pPr>
            <w:r>
              <w:rPr>
                <w:rFonts w:hint="eastAsia" w:ascii="宋体" w:hAnsi="宋体" w:cs="Courier New"/>
                <w:bCs/>
              </w:rPr>
              <w:t>供应商售后服务方案表述清晰、完整，提供合理清晰的故障处理流程、维护保障流程及组织架构，保障措施内容全面且详细，对本项目的风险预见、风险应对措施完备，到达故障现场时间优于采购文件要求，提供定期回访服务，对设备进行维护保养的整体情况，本项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129" w:type="dxa"/>
            <w:vMerge w:val="continue"/>
            <w:vAlign w:val="center"/>
          </w:tcPr>
          <w:p>
            <w:pPr>
              <w:spacing w:line="360" w:lineRule="auto"/>
              <w:jc w:val="center"/>
              <w:rPr>
                <w:rFonts w:ascii="宋体" w:hAnsi="宋体" w:cs="宋体"/>
                <w:color w:val="auto"/>
                <w:szCs w:val="21"/>
              </w:rPr>
            </w:pPr>
          </w:p>
        </w:tc>
        <w:tc>
          <w:tcPr>
            <w:tcW w:w="718" w:type="dxa"/>
            <w:vMerge w:val="continue"/>
            <w:vAlign w:val="center"/>
          </w:tcPr>
          <w:p>
            <w:pPr>
              <w:spacing w:line="360" w:lineRule="auto"/>
              <w:jc w:val="center"/>
              <w:rPr>
                <w:rFonts w:ascii="宋体" w:hAnsi="宋体" w:cs="宋体"/>
                <w:color w:val="auto"/>
                <w:szCs w:val="21"/>
              </w:rPr>
            </w:pPr>
          </w:p>
        </w:tc>
        <w:tc>
          <w:tcPr>
            <w:tcW w:w="1276" w:type="dxa"/>
            <w:vAlign w:val="center"/>
          </w:tcPr>
          <w:p>
            <w:pPr>
              <w:jc w:val="center"/>
              <w:rPr>
                <w:rFonts w:ascii="宋体" w:hAnsi="宋体" w:cs="宋体"/>
                <w:color w:val="auto"/>
                <w:szCs w:val="21"/>
              </w:rPr>
            </w:pPr>
            <w:r>
              <w:rPr>
                <w:rFonts w:hint="eastAsia" w:ascii="宋体" w:hAnsi="宋体" w:cs="宋体"/>
                <w:color w:val="auto"/>
                <w:szCs w:val="21"/>
              </w:rPr>
              <w:t>业绩案例</w:t>
            </w:r>
          </w:p>
          <w:p>
            <w:pPr>
              <w:jc w:val="cente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w:t>
            </w:r>
          </w:p>
        </w:tc>
        <w:tc>
          <w:tcPr>
            <w:tcW w:w="7220" w:type="dxa"/>
            <w:vAlign w:val="center"/>
          </w:tcPr>
          <w:p>
            <w:pPr>
              <w:adjustRightInd w:val="0"/>
              <w:snapToGrid w:val="0"/>
              <w:ind w:firstLine="210" w:firstLineChars="100"/>
              <w:rPr>
                <w:rFonts w:ascii="宋体" w:hAnsi="宋体" w:cs="Courier New"/>
                <w:bCs/>
                <w:color w:val="auto"/>
                <w:szCs w:val="21"/>
              </w:rPr>
            </w:pPr>
            <w:r>
              <w:rPr>
                <w:rFonts w:hint="eastAsia" w:ascii="宋体" w:hAnsi="宋体"/>
                <w:color w:val="auto"/>
                <w:szCs w:val="21"/>
              </w:rPr>
              <w:t>供应商提供</w:t>
            </w:r>
            <w:r>
              <w:rPr>
                <w:rFonts w:hint="eastAsia" w:ascii="宋体" w:hAnsi="宋体"/>
                <w:color w:val="auto"/>
                <w:kern w:val="0"/>
                <w:szCs w:val="21"/>
              </w:rPr>
              <w:t>2020年1月1日至今</w:t>
            </w:r>
            <w:r>
              <w:rPr>
                <w:rFonts w:hint="eastAsia" w:ascii="宋体" w:hAnsi="宋体"/>
                <w:color w:val="auto"/>
                <w:kern w:val="0"/>
                <w:szCs w:val="21"/>
                <w:lang w:eastAsia="zh-CN"/>
              </w:rPr>
              <w:t>（</w:t>
            </w:r>
            <w:r>
              <w:rPr>
                <w:rFonts w:hint="eastAsia" w:ascii="宋体" w:hAnsi="宋体"/>
                <w:color w:val="auto"/>
                <w:kern w:val="0"/>
                <w:szCs w:val="21"/>
              </w:rPr>
              <w:t>以合同签订时间为准</w:t>
            </w:r>
            <w:r>
              <w:rPr>
                <w:rFonts w:hint="eastAsia" w:ascii="宋体" w:hAnsi="宋体"/>
                <w:color w:val="auto"/>
                <w:kern w:val="0"/>
                <w:szCs w:val="21"/>
                <w:lang w:eastAsia="zh-CN"/>
              </w:rPr>
              <w:t>）</w:t>
            </w:r>
            <w:r>
              <w:rPr>
                <w:rFonts w:hint="eastAsia" w:ascii="宋体" w:hAnsi="宋体"/>
                <w:color w:val="auto"/>
                <w:kern w:val="0"/>
                <w:szCs w:val="21"/>
              </w:rPr>
              <w:t>高校类似成功案例</w:t>
            </w:r>
            <w:r>
              <w:rPr>
                <w:rFonts w:hint="eastAsia" w:ascii="宋体" w:hAnsi="宋体"/>
                <w:color w:val="auto"/>
                <w:kern w:val="0"/>
                <w:szCs w:val="21"/>
                <w:lang w:eastAsia="zh-CN"/>
              </w:rPr>
              <w:t>（</w:t>
            </w:r>
            <w:r>
              <w:rPr>
                <w:rFonts w:hint="eastAsia" w:ascii="宋体" w:hAnsi="宋体"/>
                <w:color w:val="auto"/>
                <w:kern w:val="0"/>
                <w:szCs w:val="21"/>
              </w:rPr>
              <w:t>必须含</w:t>
            </w:r>
            <w:r>
              <w:rPr>
                <w:rFonts w:hint="eastAsia" w:ascii="宋体" w:hAnsi="宋体"/>
                <w:color w:val="auto"/>
                <w:szCs w:val="21"/>
              </w:rPr>
              <w:t>包含混合废气处理系统、风机等</w:t>
            </w:r>
            <w:r>
              <w:rPr>
                <w:rFonts w:hint="eastAsia" w:ascii="宋体" w:hAnsi="宋体"/>
                <w:color w:val="auto"/>
                <w:kern w:val="0"/>
                <w:szCs w:val="21"/>
              </w:rPr>
              <w:t>）。每提供一个成功案例加0.5分，最高</w:t>
            </w:r>
            <w:r>
              <w:rPr>
                <w:rFonts w:hint="eastAsia" w:ascii="宋体" w:hAnsi="宋体"/>
                <w:color w:val="auto"/>
                <w:kern w:val="0"/>
                <w:szCs w:val="21"/>
                <w:lang w:val="en-US" w:eastAsia="zh-CN"/>
              </w:rPr>
              <w:t>5</w:t>
            </w:r>
            <w:r>
              <w:rPr>
                <w:rFonts w:hint="eastAsia" w:ascii="宋体" w:hAnsi="宋体"/>
                <w:color w:val="auto"/>
                <w:kern w:val="0"/>
                <w:szCs w:val="21"/>
              </w:rPr>
              <w:t>分。（业绩以合同、中标通知书、用户盖章验收报告、发票复印件为准，四者缺一不可）</w:t>
            </w:r>
            <w:r>
              <w:rPr>
                <w:rFonts w:hint="eastAsia" w:ascii="宋体" w:hAnsi="宋体"/>
                <w:color w:val="auto"/>
                <w:szCs w:val="21"/>
              </w:rPr>
              <w:t>。所有资料均须提供复印件加盖公章</w:t>
            </w:r>
            <w:r>
              <w:rPr>
                <w:rFonts w:hint="eastAsia" w:ascii="宋体" w:hAnsi="宋体" w:cs="Courier New"/>
                <w:bCs/>
                <w:color w:val="auto"/>
                <w:szCs w:val="21"/>
              </w:rPr>
              <w:t>。</w:t>
            </w:r>
          </w:p>
          <w:p>
            <w:pPr>
              <w:rPr>
                <w:rFonts w:ascii="宋体" w:hAnsi="宋体" w:cs="等线"/>
                <w:color w:val="auto"/>
                <w:szCs w:val="21"/>
              </w:rPr>
            </w:pPr>
            <w:r>
              <w:rPr>
                <w:rFonts w:hint="eastAsia" w:ascii="宋体" w:hAnsi="宋体" w:cs="Courier New"/>
                <w:b/>
                <w:bCs/>
                <w:color w:val="auto"/>
                <w:szCs w:val="21"/>
              </w:rPr>
              <w:t>注：投标时核对原件。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1129" w:type="dxa"/>
            <w:vMerge w:val="continue"/>
            <w:vAlign w:val="center"/>
          </w:tcPr>
          <w:p>
            <w:pPr>
              <w:spacing w:line="360" w:lineRule="auto"/>
              <w:jc w:val="center"/>
              <w:rPr>
                <w:rFonts w:ascii="宋体" w:hAnsi="宋体" w:cs="宋体"/>
                <w:color w:val="auto"/>
                <w:szCs w:val="21"/>
              </w:rPr>
            </w:pPr>
          </w:p>
        </w:tc>
        <w:tc>
          <w:tcPr>
            <w:tcW w:w="718" w:type="dxa"/>
            <w:vMerge w:val="continue"/>
          </w:tcPr>
          <w:p>
            <w:pPr>
              <w:spacing w:line="360" w:lineRule="auto"/>
              <w:jc w:val="center"/>
              <w:rPr>
                <w:rFonts w:ascii="宋体" w:hAnsi="宋体" w:cs="宋体"/>
                <w:color w:val="auto"/>
                <w:szCs w:val="21"/>
              </w:rPr>
            </w:pPr>
          </w:p>
        </w:tc>
        <w:tc>
          <w:tcPr>
            <w:tcW w:w="1276" w:type="dxa"/>
            <w:vAlign w:val="center"/>
          </w:tcPr>
          <w:p>
            <w:pPr>
              <w:jc w:val="center"/>
              <w:rPr>
                <w:rFonts w:ascii="宋体" w:hAnsi="宋体" w:cs="宋体"/>
                <w:color w:val="auto"/>
                <w:szCs w:val="21"/>
              </w:rPr>
            </w:pPr>
            <w:r>
              <w:rPr>
                <w:rFonts w:hint="eastAsia" w:ascii="宋体" w:hAnsi="宋体" w:cs="宋体"/>
                <w:color w:val="auto"/>
                <w:szCs w:val="21"/>
              </w:rPr>
              <w:t>企业实力</w:t>
            </w:r>
          </w:p>
          <w:p>
            <w:pPr>
              <w:jc w:val="center"/>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6</w:t>
            </w:r>
            <w:r>
              <w:rPr>
                <w:rFonts w:hint="eastAsia" w:ascii="宋体" w:hAnsi="宋体" w:cs="宋体"/>
                <w:color w:val="auto"/>
                <w:szCs w:val="21"/>
              </w:rPr>
              <w:t>）</w:t>
            </w:r>
          </w:p>
        </w:tc>
        <w:tc>
          <w:tcPr>
            <w:tcW w:w="7220" w:type="dxa"/>
            <w:vAlign w:val="center"/>
          </w:tcPr>
          <w:p>
            <w:pPr>
              <w:autoSpaceDE w:val="0"/>
              <w:autoSpaceDN w:val="0"/>
              <w:adjustRightInd w:val="0"/>
              <w:jc w:val="left"/>
              <w:rPr>
                <w:rFonts w:ascii="宋体" w:hAnsi="宋体"/>
                <w:color w:val="auto"/>
                <w:szCs w:val="21"/>
              </w:rPr>
            </w:pPr>
            <w:r>
              <w:rPr>
                <w:rFonts w:hint="eastAsia" w:ascii="宋体" w:hAnsi="宋体"/>
                <w:color w:val="auto"/>
                <w:szCs w:val="21"/>
              </w:rPr>
              <w:t>1.投标人具有与实验室废气处理设备相关专利的有1项得1分，满分3分。</w:t>
            </w:r>
          </w:p>
          <w:p>
            <w:pPr>
              <w:autoSpaceDE w:val="0"/>
              <w:autoSpaceDN w:val="0"/>
              <w:adjustRightInd w:val="0"/>
              <w:jc w:val="left"/>
              <w:rPr>
                <w:rFonts w:ascii="宋体" w:hAnsi="宋体"/>
                <w:color w:val="auto"/>
                <w:szCs w:val="21"/>
              </w:rPr>
            </w:pPr>
            <w:r>
              <w:rPr>
                <w:rFonts w:hint="eastAsia" w:ascii="宋体" w:hAnsi="宋体"/>
                <w:color w:val="auto"/>
                <w:szCs w:val="21"/>
              </w:rPr>
              <w:t>2.投标人所投装置具有省（部）级及以上产品鉴定的得2分，满分2分。</w:t>
            </w:r>
          </w:p>
          <w:p>
            <w:pPr>
              <w:autoSpaceDE w:val="0"/>
              <w:autoSpaceDN w:val="0"/>
              <w:adjustRightInd w:val="0"/>
              <w:jc w:val="left"/>
              <w:rPr>
                <w:rFonts w:ascii="宋体" w:hAnsi="宋体"/>
                <w:color w:val="auto"/>
                <w:szCs w:val="21"/>
              </w:rPr>
            </w:pPr>
            <w:r>
              <w:rPr>
                <w:rFonts w:hint="eastAsia" w:ascii="宋体" w:hAnsi="宋体"/>
                <w:color w:val="auto"/>
                <w:szCs w:val="21"/>
              </w:rPr>
              <w:t>3.投标人所投装置获省（部）级及以上科技成果奖的得1分，满分1分。</w:t>
            </w:r>
          </w:p>
          <w:p>
            <w:pPr>
              <w:rPr>
                <w:rFonts w:ascii="宋体" w:hAnsi="宋体"/>
                <w:color w:val="auto"/>
                <w:szCs w:val="21"/>
              </w:rPr>
            </w:pPr>
            <w:r>
              <w:rPr>
                <w:rFonts w:hint="eastAsia" w:ascii="宋体" w:hAnsi="宋体" w:cs="Courier New"/>
                <w:b/>
                <w:bCs/>
                <w:color w:val="auto"/>
                <w:szCs w:val="21"/>
              </w:rPr>
              <w:t>注：投标时核对原件。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129" w:type="dxa"/>
            <w:vMerge w:val="continue"/>
            <w:vAlign w:val="center"/>
          </w:tcPr>
          <w:p>
            <w:pPr>
              <w:spacing w:line="360" w:lineRule="auto"/>
              <w:jc w:val="center"/>
              <w:rPr>
                <w:rFonts w:ascii="宋体" w:hAnsi="宋体" w:cs="宋体"/>
                <w:color w:val="auto"/>
                <w:szCs w:val="21"/>
              </w:rPr>
            </w:pPr>
          </w:p>
        </w:tc>
        <w:tc>
          <w:tcPr>
            <w:tcW w:w="718" w:type="dxa"/>
            <w:vMerge w:val="continue"/>
          </w:tcPr>
          <w:p>
            <w:pPr>
              <w:spacing w:line="360" w:lineRule="auto"/>
              <w:jc w:val="center"/>
              <w:rPr>
                <w:rFonts w:ascii="宋体" w:hAnsi="宋体" w:cs="宋体"/>
                <w:color w:val="auto"/>
                <w:szCs w:val="21"/>
              </w:rPr>
            </w:pPr>
          </w:p>
        </w:tc>
        <w:tc>
          <w:tcPr>
            <w:tcW w:w="1276" w:type="dxa"/>
            <w:vAlign w:val="center"/>
          </w:tcPr>
          <w:p>
            <w:pPr>
              <w:jc w:val="center"/>
              <w:rPr>
                <w:rFonts w:ascii="宋体" w:hAnsi="宋体" w:cs="宋体"/>
                <w:color w:val="auto"/>
                <w:szCs w:val="21"/>
              </w:rPr>
            </w:pPr>
            <w:r>
              <w:rPr>
                <w:rFonts w:hint="eastAsia" w:ascii="宋体" w:hAnsi="宋体" w:cs="宋体"/>
                <w:color w:val="auto"/>
                <w:szCs w:val="21"/>
              </w:rPr>
              <w:t>企业资质</w:t>
            </w:r>
          </w:p>
          <w:p>
            <w:pPr>
              <w:jc w:val="center"/>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w:t>
            </w:r>
          </w:p>
        </w:tc>
        <w:tc>
          <w:tcPr>
            <w:tcW w:w="7220" w:type="dxa"/>
            <w:vAlign w:val="center"/>
          </w:tcPr>
          <w:p>
            <w:pPr>
              <w:autoSpaceDE w:val="0"/>
              <w:autoSpaceDN w:val="0"/>
              <w:adjustRightInd w:val="0"/>
              <w:jc w:val="left"/>
              <w:rPr>
                <w:rFonts w:ascii="宋体" w:hAnsi="宋体"/>
                <w:color w:val="auto"/>
                <w:szCs w:val="21"/>
              </w:rPr>
            </w:pPr>
            <w:r>
              <w:rPr>
                <w:rFonts w:hint="eastAsia" w:ascii="宋体" w:hAnsi="宋体"/>
                <w:color w:val="auto"/>
                <w:szCs w:val="21"/>
              </w:rPr>
              <w:t>1.投标人企业取得GB/T27922-2011《商品售后服务评价体系》的五星级售后服务认证证书得1分；</w:t>
            </w:r>
          </w:p>
          <w:p>
            <w:pPr>
              <w:autoSpaceDE w:val="0"/>
              <w:autoSpaceDN w:val="0"/>
              <w:adjustRightInd w:val="0"/>
              <w:jc w:val="left"/>
              <w:rPr>
                <w:rFonts w:ascii="宋体" w:hAnsi="宋体"/>
                <w:color w:val="auto"/>
                <w:szCs w:val="21"/>
              </w:rPr>
            </w:pPr>
            <w:r>
              <w:rPr>
                <w:rFonts w:hint="eastAsia" w:ascii="宋体" w:hAnsi="宋体"/>
                <w:color w:val="auto"/>
                <w:szCs w:val="21"/>
              </w:rPr>
              <w:t>2.提供投标人环保工程专业承包资质的得1分；</w:t>
            </w:r>
          </w:p>
          <w:p>
            <w:pPr>
              <w:autoSpaceDE w:val="0"/>
              <w:autoSpaceDN w:val="0"/>
              <w:adjustRightInd w:val="0"/>
              <w:jc w:val="left"/>
              <w:rPr>
                <w:rFonts w:ascii="宋体" w:hAnsi="宋体"/>
                <w:color w:val="auto"/>
                <w:szCs w:val="21"/>
              </w:rPr>
            </w:pPr>
            <w:r>
              <w:rPr>
                <w:rFonts w:hint="eastAsia" w:ascii="宋体" w:hAnsi="宋体"/>
                <w:color w:val="auto"/>
                <w:szCs w:val="21"/>
              </w:rPr>
              <w:t>3.提供投标人建筑电子与智能化工程专业承包资质的得1分。</w:t>
            </w:r>
          </w:p>
          <w:p>
            <w:pPr>
              <w:rPr>
                <w:rFonts w:ascii="宋体" w:hAnsi="宋体"/>
                <w:color w:val="auto"/>
                <w:szCs w:val="21"/>
              </w:rPr>
            </w:pPr>
            <w:r>
              <w:rPr>
                <w:rFonts w:hint="eastAsia" w:ascii="宋体" w:hAnsi="宋体"/>
                <w:b/>
                <w:bCs/>
                <w:color w:val="auto"/>
                <w:szCs w:val="21"/>
              </w:rPr>
              <w:t>注：</w:t>
            </w:r>
            <w:r>
              <w:rPr>
                <w:rFonts w:hint="eastAsia" w:ascii="宋体" w:hAnsi="宋体" w:cs="Courier New"/>
                <w:b/>
                <w:bCs/>
                <w:color w:val="auto"/>
                <w:szCs w:val="21"/>
              </w:rPr>
              <w:t>投标时核对原件。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129" w:type="dxa"/>
            <w:vMerge w:val="continue"/>
            <w:vAlign w:val="center"/>
          </w:tcPr>
          <w:p>
            <w:pPr>
              <w:spacing w:line="360" w:lineRule="auto"/>
              <w:jc w:val="center"/>
              <w:rPr>
                <w:rFonts w:ascii="宋体" w:hAnsi="宋体" w:cs="宋体"/>
                <w:color w:val="auto"/>
                <w:szCs w:val="21"/>
              </w:rPr>
            </w:pPr>
          </w:p>
        </w:tc>
        <w:tc>
          <w:tcPr>
            <w:tcW w:w="718" w:type="dxa"/>
            <w:vMerge w:val="continue"/>
          </w:tcPr>
          <w:p>
            <w:pPr>
              <w:spacing w:line="360" w:lineRule="auto"/>
              <w:jc w:val="center"/>
              <w:rPr>
                <w:rFonts w:ascii="宋体" w:hAnsi="宋体" w:cs="宋体"/>
                <w:color w:val="auto"/>
                <w:szCs w:val="21"/>
              </w:rPr>
            </w:pPr>
          </w:p>
        </w:tc>
        <w:tc>
          <w:tcPr>
            <w:tcW w:w="1276" w:type="dxa"/>
            <w:vAlign w:val="center"/>
          </w:tcPr>
          <w:p>
            <w:pPr>
              <w:jc w:val="center"/>
              <w:rPr>
                <w:rFonts w:ascii="宋体" w:hAnsi="宋体" w:cs="宋体"/>
                <w:color w:val="auto"/>
                <w:szCs w:val="21"/>
              </w:rPr>
            </w:pPr>
            <w:r>
              <w:rPr>
                <w:rFonts w:hint="eastAsia" w:ascii="宋体" w:hAnsi="宋体" w:cs="宋体"/>
                <w:color w:val="auto"/>
                <w:szCs w:val="21"/>
              </w:rPr>
              <w:t>质保期</w:t>
            </w:r>
          </w:p>
          <w:p>
            <w:pPr>
              <w:jc w:val="center"/>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w:t>
            </w:r>
          </w:p>
        </w:tc>
        <w:tc>
          <w:tcPr>
            <w:tcW w:w="7220" w:type="dxa"/>
            <w:vAlign w:val="center"/>
          </w:tcPr>
          <w:p>
            <w:pPr>
              <w:rPr>
                <w:rFonts w:hint="eastAsia" w:ascii="宋体" w:hAnsi="宋体"/>
                <w:b/>
                <w:bCs/>
                <w:color w:val="auto"/>
                <w:szCs w:val="21"/>
              </w:rPr>
            </w:pPr>
            <w:r>
              <w:rPr>
                <w:rFonts w:hint="eastAsia"/>
                <w:color w:val="auto"/>
                <w:szCs w:val="21"/>
              </w:rPr>
              <w:t>满足招标文件</w:t>
            </w:r>
            <w:r>
              <w:rPr>
                <w:rFonts w:hint="eastAsia"/>
                <w:color w:val="auto"/>
                <w:szCs w:val="21"/>
                <w:lang w:eastAsia="zh-CN"/>
              </w:rPr>
              <w:t>的</w:t>
            </w:r>
            <w:r>
              <w:rPr>
                <w:rFonts w:hint="eastAsia"/>
                <w:color w:val="auto"/>
                <w:szCs w:val="21"/>
                <w:lang w:val="en-US" w:eastAsia="zh-CN"/>
              </w:rPr>
              <w:t>2分，在</w:t>
            </w:r>
            <w:r>
              <w:rPr>
                <w:rFonts w:hint="eastAsia"/>
                <w:color w:val="auto"/>
                <w:szCs w:val="21"/>
              </w:rPr>
              <w:t>原厂质保</w:t>
            </w:r>
            <w:r>
              <w:rPr>
                <w:rFonts w:hint="eastAsia"/>
                <w:color w:val="auto"/>
                <w:szCs w:val="21"/>
                <w:lang w:val="en-US" w:eastAsia="zh-CN"/>
              </w:rPr>
              <w:t>三</w:t>
            </w:r>
            <w:r>
              <w:rPr>
                <w:rFonts w:hint="eastAsia"/>
                <w:color w:val="auto"/>
                <w:szCs w:val="21"/>
              </w:rPr>
              <w:t>年的基础上所有设备同时每延长一年加</w:t>
            </w:r>
            <w:r>
              <w:rPr>
                <w:rFonts w:hint="eastAsia" w:ascii="宋体" w:hAnsi="宋体" w:cs="宋体"/>
                <w:color w:val="auto"/>
                <w:szCs w:val="21"/>
              </w:rPr>
              <w:t>1分</w:t>
            </w:r>
            <w:r>
              <w:rPr>
                <w:rFonts w:hint="eastAsia" w:ascii="宋体" w:hAnsi="宋体" w:cs="宋体"/>
                <w:color w:val="auto"/>
                <w:szCs w:val="21"/>
                <w:lang w:eastAsia="zh-CN"/>
              </w:rPr>
              <w:t>，最多</w:t>
            </w:r>
            <w:r>
              <w:rPr>
                <w:rFonts w:hint="eastAsia" w:ascii="宋体" w:hAnsi="宋体" w:cs="宋体"/>
                <w:color w:val="auto"/>
                <w:szCs w:val="21"/>
                <w:lang w:val="en-US" w:eastAsia="zh-CN"/>
              </w:rPr>
              <w:t>3分</w:t>
            </w:r>
            <w:r>
              <w:rPr>
                <w:rFonts w:hint="eastAsia" w:ascii="宋体" w:hAnsi="宋体" w:cs="宋体"/>
                <w:color w:val="auto"/>
                <w:szCs w:val="21"/>
              </w:rPr>
              <w:t>。</w:t>
            </w:r>
            <w:r>
              <w:rPr>
                <w:rFonts w:hint="eastAsia" w:ascii="宋体" w:hAnsi="宋体" w:cs="宋体"/>
                <w:color w:val="auto"/>
                <w:szCs w:val="21"/>
                <w:lang w:val="en-US" w:eastAsia="zh-CN"/>
              </w:rPr>
              <w:t>需提供原厂质保函原件，否则不得分。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29"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合计</w:t>
            </w:r>
          </w:p>
        </w:tc>
        <w:tc>
          <w:tcPr>
            <w:tcW w:w="718"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00</w:t>
            </w:r>
          </w:p>
        </w:tc>
        <w:tc>
          <w:tcPr>
            <w:tcW w:w="8496" w:type="dxa"/>
            <w:gridSpan w:val="2"/>
            <w:vAlign w:val="center"/>
          </w:tcPr>
          <w:p>
            <w:pPr>
              <w:widowControl/>
              <w:spacing w:line="360" w:lineRule="auto"/>
              <w:rPr>
                <w:rFonts w:ascii="宋体" w:hAnsi="宋体"/>
                <w:color w:val="auto"/>
                <w:szCs w:val="21"/>
              </w:rPr>
            </w:pPr>
            <w:r>
              <w:rPr>
                <w:rFonts w:hint="eastAsia" w:ascii="宋体" w:hAnsi="宋体"/>
                <w:color w:val="auto"/>
                <w:szCs w:val="21"/>
              </w:rPr>
              <w:t>投标人最后得分保留两位小数</w:t>
            </w:r>
          </w:p>
        </w:tc>
      </w:tr>
      <w:bookmarkEnd w:id="0"/>
    </w:tbl>
    <w:p>
      <w:pPr>
        <w:pageBreakBefore/>
        <w:spacing w:line="360" w:lineRule="auto"/>
        <w:ind w:firstLine="643" w:firstLineChars="200"/>
        <w:jc w:val="center"/>
        <w:rPr>
          <w:rFonts w:ascii="仿宋_GB2312" w:hAnsi="宋体" w:eastAsia="仿宋_GB2312"/>
          <w:sz w:val="28"/>
          <w:szCs w:val="28"/>
        </w:rPr>
      </w:pPr>
      <w:r>
        <w:rPr>
          <w:rFonts w:hint="eastAsia"/>
          <w:b/>
          <w:bCs/>
          <w:sz w:val="32"/>
          <w:szCs w:val="32"/>
        </w:rPr>
        <w:t>第四部分  合同相关要求</w:t>
      </w:r>
    </w:p>
    <w:p>
      <w:pPr>
        <w:spacing w:line="360" w:lineRule="exact"/>
        <w:ind w:left="422" w:leftChars="201" w:firstLine="480" w:firstLineChars="200"/>
        <w:rPr>
          <w:rFonts w:ascii="宋体" w:hAnsi="宋体"/>
          <w:sz w:val="24"/>
        </w:rPr>
      </w:pPr>
      <w:r>
        <w:rPr>
          <w:rFonts w:hint="eastAsia" w:ascii="宋体" w:hAnsi="宋体"/>
          <w:sz w:val="24"/>
          <w:lang w:val="en-GB"/>
        </w:rPr>
        <w:t>1．</w:t>
      </w:r>
      <w:r>
        <w:rPr>
          <w:rFonts w:hint="eastAsia" w:ascii="宋体" w:hAnsi="宋体"/>
          <w:b/>
          <w:bCs/>
          <w:sz w:val="24"/>
        </w:rPr>
        <w:t>招标人对中标候选人提供的业绩进行抽查核实，确认无误后签订采购合同</w:t>
      </w:r>
      <w:r>
        <w:rPr>
          <w:rFonts w:hint="eastAsia" w:ascii="宋体" w:hAnsi="宋体"/>
          <w:sz w:val="24"/>
        </w:rPr>
        <w:t>。中标人</w:t>
      </w:r>
      <w:r>
        <w:rPr>
          <w:rFonts w:hint="eastAsia" w:ascii="宋体" w:hAnsi="宋体"/>
          <w:sz w:val="24"/>
          <w:lang w:val="en-GB"/>
        </w:rPr>
        <w:t>所签合同不得对招标文件作实质性修改。否则投标保证金将不予退还，由此给招标人造成损失的，中标人还应承担赔偿责任。</w:t>
      </w:r>
    </w:p>
    <w:p>
      <w:pPr>
        <w:spacing w:line="360" w:lineRule="exact"/>
        <w:ind w:left="422" w:leftChars="201" w:firstLine="480" w:firstLineChars="200"/>
        <w:rPr>
          <w:rFonts w:ascii="宋体" w:hAnsi="宋体"/>
          <w:sz w:val="24"/>
          <w:lang w:val="en-GB"/>
        </w:rPr>
      </w:pPr>
      <w:r>
        <w:rPr>
          <w:rFonts w:hint="eastAsia" w:ascii="宋体" w:hAnsi="宋体"/>
          <w:sz w:val="24"/>
          <w:lang w:val="en-GB"/>
        </w:rPr>
        <w:t>2．</w:t>
      </w:r>
      <w:r>
        <w:rPr>
          <w:rFonts w:hint="eastAsia" w:ascii="宋体" w:hAnsi="宋体"/>
          <w:sz w:val="24"/>
        </w:rPr>
        <w:t>采购招标文件</w:t>
      </w:r>
      <w:r>
        <w:rPr>
          <w:rFonts w:hint="eastAsia" w:ascii="宋体" w:hAnsi="宋体"/>
          <w:sz w:val="24"/>
          <w:lang w:val="en-GB"/>
        </w:rPr>
        <w:t>、</w:t>
      </w:r>
      <w:r>
        <w:rPr>
          <w:rFonts w:hint="eastAsia" w:ascii="宋体" w:hAnsi="宋体"/>
          <w:sz w:val="24"/>
        </w:rPr>
        <w:t>中标人</w:t>
      </w:r>
      <w:r>
        <w:rPr>
          <w:rFonts w:hint="eastAsia" w:ascii="宋体" w:hAnsi="宋体"/>
          <w:sz w:val="24"/>
          <w:lang w:val="en-GB"/>
        </w:rPr>
        <w:t>的投标文件及投标过程中有关书面澄清、承诺等均应作为合同附件，具有同等的法律效力。</w:t>
      </w:r>
    </w:p>
    <w:p>
      <w:pPr>
        <w:spacing w:line="360" w:lineRule="exact"/>
        <w:ind w:left="422" w:leftChars="201" w:firstLine="480" w:firstLineChars="200"/>
        <w:rPr>
          <w:rFonts w:ascii="宋体" w:hAnsi="宋体"/>
          <w:sz w:val="24"/>
          <w:lang w:val="en-GB"/>
        </w:rPr>
      </w:pPr>
      <w:r>
        <w:rPr>
          <w:rFonts w:hint="eastAsia" w:ascii="宋体" w:hAnsi="宋体"/>
          <w:sz w:val="24"/>
          <w:lang w:val="en-GB"/>
        </w:rPr>
        <w:t>3.</w:t>
      </w:r>
      <w:r>
        <w:rPr>
          <w:rFonts w:hint="eastAsia" w:ascii="宋体" w:hAnsi="宋体"/>
          <w:sz w:val="24"/>
        </w:rPr>
        <w:t>中标人</w:t>
      </w:r>
      <w:r>
        <w:rPr>
          <w:rFonts w:hint="eastAsia" w:ascii="宋体" w:hAnsi="宋体"/>
          <w:sz w:val="24"/>
          <w:lang w:val="en-GB"/>
        </w:rPr>
        <w:t>不得采用分包的形式履行合同，否则招标人有权终止合同，造成招标人损失的，</w:t>
      </w:r>
      <w:r>
        <w:rPr>
          <w:rFonts w:hint="eastAsia" w:ascii="宋体" w:hAnsi="宋体"/>
          <w:sz w:val="24"/>
        </w:rPr>
        <w:t>中标人</w:t>
      </w:r>
      <w:r>
        <w:rPr>
          <w:rFonts w:hint="eastAsia" w:ascii="宋体" w:hAnsi="宋体"/>
          <w:sz w:val="24"/>
          <w:lang w:val="en-GB"/>
        </w:rPr>
        <w:t>应承担相应赔偿责任。</w:t>
      </w:r>
      <w:r>
        <w:rPr>
          <w:rFonts w:hint="eastAsia" w:ascii="宋体" w:hAnsi="宋体"/>
          <w:sz w:val="24"/>
        </w:rPr>
        <w:t>中标人</w:t>
      </w:r>
      <w:r>
        <w:rPr>
          <w:rFonts w:hint="eastAsia" w:ascii="宋体" w:hAnsi="宋体"/>
          <w:sz w:val="24"/>
          <w:lang w:val="en-GB"/>
        </w:rPr>
        <w:t>出现违约情形，应当及时纠正或补偿；造成损失的，按合同约定追究违约责任；发现有假冒、伪劣、走私产品、商业贿赂等违法情形的，应由招标单位移交工商、质监、公安等行政执法部门依法查处。中标人不能及时供货的，按《</w:t>
      </w:r>
      <w:r>
        <w:rPr>
          <w:rFonts w:hint="eastAsia" w:ascii="宋体" w:hAnsi="宋体"/>
          <w:sz w:val="24"/>
        </w:rPr>
        <w:t>民</w:t>
      </w:r>
      <w:r>
        <w:rPr>
          <w:rFonts w:hint="eastAsia" w:ascii="宋体" w:hAnsi="宋体"/>
          <w:sz w:val="24"/>
          <w:lang w:val="en-GB"/>
        </w:rPr>
        <w:t>法</w:t>
      </w:r>
      <w:r>
        <w:rPr>
          <w:rFonts w:hint="eastAsia" w:ascii="宋体" w:hAnsi="宋体"/>
          <w:sz w:val="24"/>
        </w:rPr>
        <w:t>典</w:t>
      </w:r>
      <w:r>
        <w:rPr>
          <w:rFonts w:hint="eastAsia" w:ascii="宋体" w:hAnsi="宋体"/>
          <w:sz w:val="24"/>
          <w:lang w:val="en-GB"/>
        </w:rPr>
        <w:t>》规定处理，同时扣除相应合同履约金。另外，将视具体情况，限制其参加在本校范围内6个月至3年的采购招投标活动。</w:t>
      </w:r>
    </w:p>
    <w:p>
      <w:pPr>
        <w:spacing w:line="360" w:lineRule="exact"/>
        <w:ind w:left="422" w:leftChars="201" w:firstLine="480" w:firstLineChars="200"/>
        <w:rPr>
          <w:rFonts w:ascii="宋体" w:hAnsi="宋体"/>
          <w:sz w:val="24"/>
          <w:lang w:val="en-GB"/>
        </w:rPr>
      </w:pPr>
      <w:r>
        <w:rPr>
          <w:rFonts w:hint="eastAsia" w:ascii="宋体" w:hAnsi="宋体"/>
          <w:sz w:val="24"/>
          <w:lang w:val="en-GB"/>
        </w:rPr>
        <w:t>4.</w:t>
      </w:r>
      <w:r>
        <w:rPr>
          <w:rFonts w:hint="eastAsia" w:ascii="宋体" w:hAnsi="宋体"/>
          <w:sz w:val="24"/>
        </w:rPr>
        <w:t>中标人</w:t>
      </w:r>
      <w:r>
        <w:rPr>
          <w:rFonts w:hint="eastAsia" w:ascii="宋体" w:hAnsi="宋体"/>
          <w:sz w:val="24"/>
          <w:lang w:val="en-GB"/>
        </w:rPr>
        <w:t>如没有在合同规定的供货时限内交货并安装调试完成，招标人将向</w:t>
      </w:r>
      <w:r>
        <w:rPr>
          <w:rFonts w:hint="eastAsia" w:ascii="宋体" w:hAnsi="宋体"/>
          <w:sz w:val="24"/>
        </w:rPr>
        <w:t>中标人</w:t>
      </w:r>
      <w:r>
        <w:rPr>
          <w:rFonts w:hint="eastAsia" w:ascii="宋体" w:hAnsi="宋体"/>
          <w:sz w:val="24"/>
          <w:lang w:val="en-GB"/>
        </w:rPr>
        <w:t>发出书面违约通知并有权全部或部分终止合同，同时招标人由此造成的损失须由</w:t>
      </w:r>
      <w:r>
        <w:rPr>
          <w:rFonts w:hint="eastAsia" w:ascii="宋体" w:hAnsi="宋体"/>
          <w:sz w:val="24"/>
        </w:rPr>
        <w:t>中标人</w:t>
      </w:r>
      <w:r>
        <w:rPr>
          <w:rFonts w:hint="eastAsia" w:ascii="宋体" w:hAnsi="宋体"/>
          <w:sz w:val="24"/>
          <w:lang w:val="en-GB"/>
        </w:rPr>
        <w:t>负责赔偿。</w:t>
      </w:r>
    </w:p>
    <w:p>
      <w:pPr>
        <w:spacing w:line="360" w:lineRule="exact"/>
        <w:ind w:left="422" w:leftChars="201" w:firstLine="480" w:firstLineChars="200"/>
        <w:rPr>
          <w:rFonts w:ascii="宋体" w:hAnsi="宋体"/>
          <w:sz w:val="24"/>
          <w:lang w:val="en-GB"/>
        </w:rPr>
      </w:pPr>
      <w:r>
        <w:rPr>
          <w:rFonts w:hint="eastAsia" w:ascii="宋体" w:hAnsi="宋体"/>
          <w:sz w:val="24"/>
          <w:lang w:val="en-GB"/>
        </w:rPr>
        <w:t>5.招标单位故意推迟项目验收时间的，与</w:t>
      </w:r>
      <w:r>
        <w:rPr>
          <w:rFonts w:hint="eastAsia" w:ascii="宋体" w:hAnsi="宋体"/>
          <w:sz w:val="24"/>
        </w:rPr>
        <w:t>中标人</w:t>
      </w:r>
      <w:r>
        <w:rPr>
          <w:rFonts w:hint="eastAsia" w:ascii="宋体" w:hAnsi="宋体"/>
          <w:sz w:val="24"/>
          <w:lang w:val="en-GB"/>
        </w:rPr>
        <w:t>串通或要求</w:t>
      </w:r>
      <w:r>
        <w:rPr>
          <w:rFonts w:hint="eastAsia" w:ascii="宋体" w:hAnsi="宋体"/>
          <w:sz w:val="24"/>
        </w:rPr>
        <w:t>中标人</w:t>
      </w:r>
      <w:r>
        <w:rPr>
          <w:rFonts w:hint="eastAsia" w:ascii="宋体" w:hAnsi="宋体"/>
          <w:sz w:val="24"/>
          <w:lang w:val="en-GB"/>
        </w:rPr>
        <w:t>通过减少货物数量或降低服务标准的，在履行合同中采取更改配置、调换物品等手段的，要求供应商出具虚假发票或任意更改销售发票的，谋取不正当利益的，承担相应的法律责任。</w:t>
      </w:r>
    </w:p>
    <w:p>
      <w:pPr>
        <w:spacing w:line="360" w:lineRule="exact"/>
        <w:ind w:left="422" w:leftChars="201" w:firstLine="480" w:firstLineChars="200"/>
        <w:rPr>
          <w:rFonts w:ascii="宋体" w:hAnsi="宋体"/>
          <w:sz w:val="24"/>
          <w:lang w:val="en-GB"/>
        </w:rPr>
      </w:pPr>
      <w:r>
        <w:rPr>
          <w:rFonts w:hint="eastAsia" w:ascii="宋体" w:hAnsi="宋体"/>
          <w:sz w:val="24"/>
        </w:rPr>
        <w:t>6</w:t>
      </w:r>
      <w:r>
        <w:rPr>
          <w:rFonts w:hint="eastAsia" w:ascii="宋体" w:hAnsi="宋体"/>
          <w:sz w:val="24"/>
          <w:lang w:val="en-GB"/>
        </w:rPr>
        <w:t>.本项目的详细合同内容《合同文本》另行商定。</w:t>
      </w:r>
    </w:p>
    <w:p>
      <w:pPr>
        <w:spacing w:line="440" w:lineRule="exact"/>
        <w:rPr>
          <w:sz w:val="24"/>
        </w:rPr>
      </w:pPr>
    </w:p>
    <w:p>
      <w:pPr>
        <w:spacing w:line="440" w:lineRule="exact"/>
        <w:rPr>
          <w:rFonts w:ascii="宋体" w:hAnsi="宋体"/>
          <w:sz w:val="24"/>
        </w:rPr>
      </w:pPr>
      <w:r>
        <w:rPr>
          <w:rFonts w:ascii="宋体" w:hAnsi="宋体"/>
          <w:sz w:val="24"/>
        </w:rPr>
        <w:t xml:space="preserve"> </w:t>
      </w:r>
    </w:p>
    <w:p>
      <w:pPr>
        <w:pageBreakBefore/>
        <w:spacing w:line="360" w:lineRule="auto"/>
        <w:ind w:firstLine="643" w:firstLineChars="200"/>
        <w:jc w:val="center"/>
        <w:rPr>
          <w:b/>
          <w:bCs/>
          <w:sz w:val="32"/>
          <w:szCs w:val="32"/>
        </w:rPr>
      </w:pPr>
      <w:r>
        <w:rPr>
          <w:rFonts w:hint="eastAsia"/>
          <w:b/>
          <w:bCs/>
          <w:sz w:val="32"/>
          <w:szCs w:val="32"/>
        </w:rPr>
        <w:t>第五部分  采购项目需求</w:t>
      </w:r>
    </w:p>
    <w:p>
      <w:pPr>
        <w:spacing w:before="100" w:after="100"/>
        <w:jc w:val="center"/>
        <w:rPr>
          <w:rFonts w:ascii="宋体" w:hAnsi="宋体"/>
          <w:b/>
          <w:bCs/>
          <w:sz w:val="28"/>
          <w:szCs w:val="28"/>
        </w:rPr>
      </w:pPr>
      <w:r>
        <w:rPr>
          <w:rFonts w:hint="eastAsia" w:ascii="宋体" w:hAnsi="宋体"/>
          <w:b/>
          <w:bCs/>
          <w:sz w:val="28"/>
          <w:szCs w:val="28"/>
        </w:rPr>
        <w:t>第一章 合同主要条款</w:t>
      </w:r>
    </w:p>
    <w:p>
      <w:pPr>
        <w:spacing w:line="420" w:lineRule="atLeast"/>
        <w:ind w:firstLine="472" w:firstLineChars="196"/>
        <w:rPr>
          <w:b/>
          <w:sz w:val="24"/>
        </w:rPr>
      </w:pPr>
      <w:r>
        <w:rPr>
          <w:rFonts w:hint="eastAsia"/>
          <w:b/>
          <w:sz w:val="24"/>
        </w:rPr>
        <w:t>一、交货期</w:t>
      </w:r>
    </w:p>
    <w:p>
      <w:pPr>
        <w:spacing w:line="420" w:lineRule="atLeast"/>
        <w:ind w:firstLine="496" w:firstLineChars="200"/>
        <w:rPr>
          <w:rFonts w:hint="eastAsia" w:eastAsia="宋体"/>
          <w:sz w:val="24"/>
          <w:lang w:eastAsia="zh-CN"/>
        </w:rPr>
      </w:pPr>
      <w:r>
        <w:rPr>
          <w:rFonts w:hint="eastAsia" w:ascii="宋体" w:hAnsi="宋体" w:eastAsia="宋体" w:cs="宋体"/>
          <w:spacing w:val="4"/>
          <w:sz w:val="24"/>
          <w:lang w:eastAsia="zh-CN"/>
        </w:rPr>
        <w:t>中标后</w:t>
      </w:r>
      <w:r>
        <w:rPr>
          <w:rFonts w:hint="eastAsia" w:ascii="宋体" w:hAnsi="宋体" w:eastAsia="宋体" w:cs="宋体"/>
          <w:spacing w:val="4"/>
          <w:sz w:val="24"/>
          <w:lang w:val="en-US" w:eastAsia="zh-CN"/>
        </w:rPr>
        <w:t>3</w:t>
      </w:r>
      <w:r>
        <w:rPr>
          <w:rFonts w:hint="eastAsia" w:ascii="宋体" w:hAnsi="宋体" w:eastAsia="宋体" w:cs="宋体"/>
          <w:spacing w:val="4"/>
          <w:sz w:val="24"/>
          <w:lang w:eastAsia="zh-CN"/>
        </w:rPr>
        <w:t>天内与招标人进行项目交底</w:t>
      </w:r>
      <w:r>
        <w:rPr>
          <w:rFonts w:hint="eastAsia" w:ascii="宋体" w:hAnsi="宋体" w:eastAsia="宋体" w:cs="宋体"/>
          <w:spacing w:val="4"/>
          <w:sz w:val="24"/>
        </w:rPr>
        <w:t>，</w:t>
      </w:r>
      <w:r>
        <w:rPr>
          <w:rFonts w:hint="eastAsia" w:ascii="宋体" w:hAnsi="宋体" w:eastAsia="宋体" w:cs="宋体"/>
          <w:sz w:val="24"/>
          <w:szCs w:val="24"/>
        </w:rPr>
        <w:t>根据现场情况，由招标人书面通知进场日期</w:t>
      </w:r>
      <w:r>
        <w:rPr>
          <w:rFonts w:hint="eastAsia" w:ascii="宋体" w:hAnsi="宋体" w:cs="宋体"/>
          <w:sz w:val="24"/>
          <w:szCs w:val="24"/>
          <w:lang w:eastAsia="zh-CN"/>
        </w:rPr>
        <w:t>。</w:t>
      </w:r>
    </w:p>
    <w:p>
      <w:pPr>
        <w:spacing w:line="420" w:lineRule="atLeast"/>
        <w:ind w:firstLine="482" w:firstLineChars="200"/>
        <w:rPr>
          <w:b/>
          <w:sz w:val="24"/>
        </w:rPr>
      </w:pPr>
      <w:r>
        <w:rPr>
          <w:rFonts w:hint="eastAsia"/>
          <w:b/>
          <w:sz w:val="24"/>
        </w:rPr>
        <w:t>二、交货地点</w:t>
      </w:r>
    </w:p>
    <w:p>
      <w:pPr>
        <w:spacing w:line="360" w:lineRule="exact"/>
        <w:ind w:left="10" w:firstLine="540" w:firstLineChars="225"/>
        <w:rPr>
          <w:sz w:val="24"/>
        </w:rPr>
      </w:pPr>
      <w:r>
        <w:rPr>
          <w:rFonts w:hint="eastAsia"/>
          <w:sz w:val="24"/>
        </w:rPr>
        <w:t>南通理工学院南通校区</w:t>
      </w:r>
      <w:r>
        <w:rPr>
          <w:rFonts w:hint="eastAsia"/>
          <w:sz w:val="24"/>
          <w:lang w:val="en-US" w:eastAsia="zh-CN"/>
        </w:rPr>
        <w:t>健康医学院项目教学楼</w:t>
      </w:r>
      <w:r>
        <w:rPr>
          <w:rFonts w:hint="eastAsia"/>
          <w:sz w:val="24"/>
        </w:rPr>
        <w:t>。</w:t>
      </w:r>
    </w:p>
    <w:p>
      <w:pPr>
        <w:ind w:firstLine="482" w:firstLineChars="200"/>
        <w:rPr>
          <w:b/>
          <w:sz w:val="24"/>
        </w:rPr>
      </w:pPr>
      <w:r>
        <w:rPr>
          <w:rFonts w:hint="eastAsia"/>
          <w:b/>
          <w:sz w:val="24"/>
        </w:rPr>
        <w:t>三、质量要求</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中标人必须派出足够的人员到施工现场，确保工期按时完成。并提供详细的安装调试计划及保证措施。</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按设计要求及国家相关标准规范组织验收。</w:t>
      </w:r>
    </w:p>
    <w:p>
      <w:pPr>
        <w:ind w:firstLine="482" w:firstLineChars="200"/>
        <w:rPr>
          <w:b/>
          <w:sz w:val="24"/>
        </w:rPr>
      </w:pPr>
      <w:r>
        <w:rPr>
          <w:rFonts w:hint="eastAsia"/>
          <w:b/>
          <w:sz w:val="24"/>
        </w:rPr>
        <w:t>四、投标报价要求</w:t>
      </w:r>
    </w:p>
    <w:p>
      <w:pPr>
        <w:spacing w:line="360" w:lineRule="exact"/>
        <w:ind w:firstLine="480" w:firstLineChars="200"/>
        <w:rPr>
          <w:sz w:val="24"/>
        </w:rPr>
      </w:pPr>
      <w:r>
        <w:rPr>
          <w:rFonts w:hint="eastAsia"/>
          <w:sz w:val="24"/>
        </w:rPr>
        <w:t>本项目实行总承包制</w:t>
      </w:r>
      <w:r>
        <w:rPr>
          <w:rFonts w:hint="eastAsia"/>
          <w:sz w:val="24"/>
          <w:lang w:eastAsia="zh-CN"/>
        </w:rPr>
        <w:t>，投标人</w:t>
      </w:r>
      <w:r>
        <w:rPr>
          <w:rFonts w:hint="eastAsia"/>
          <w:sz w:val="24"/>
        </w:rPr>
        <w:t>应对本项目进行全面分析后按交钥匙工程报价。投标价格包括设备费、运输费、人工费、安装调试费、</w:t>
      </w:r>
      <w:r>
        <w:rPr>
          <w:rFonts w:hint="eastAsia"/>
          <w:sz w:val="24"/>
          <w:lang w:val="en-US" w:eastAsia="zh-CN"/>
        </w:rPr>
        <w:t>总包配合费（2%）、</w:t>
      </w:r>
      <w:r>
        <w:rPr>
          <w:rFonts w:hint="eastAsia"/>
          <w:sz w:val="24"/>
        </w:rPr>
        <w:t>利润、税费、验收、培训费及所有相关的直接、间接费用等各种费用和售后服务、税金</w:t>
      </w:r>
      <w:r>
        <w:rPr>
          <w:rFonts w:hint="eastAsia"/>
          <w:sz w:val="24"/>
          <w:lang w:eastAsia="zh-CN"/>
        </w:rPr>
        <w:t>及其他所有</w:t>
      </w:r>
      <w:r>
        <w:rPr>
          <w:rFonts w:hint="eastAsia"/>
          <w:sz w:val="24"/>
        </w:rPr>
        <w:t>成本费用的总和</w:t>
      </w:r>
      <w:r>
        <w:rPr>
          <w:rFonts w:hint="eastAsia"/>
          <w:sz w:val="24"/>
          <w:lang w:eastAsia="zh-CN"/>
        </w:rPr>
        <w:t>（</w:t>
      </w:r>
      <w:r>
        <w:rPr>
          <w:rFonts w:hint="eastAsia" w:ascii="Times New Roman" w:hAnsi="Times New Roman" w:eastAsia="宋体" w:cs="Times New Roman"/>
          <w:sz w:val="24"/>
        </w:rPr>
        <w:t>除因为</w:t>
      </w:r>
      <w:r>
        <w:rPr>
          <w:rFonts w:hint="eastAsia" w:ascii="Times New Roman" w:hAnsi="Times New Roman" w:eastAsia="宋体" w:cs="Times New Roman"/>
          <w:sz w:val="24"/>
          <w:lang w:eastAsia="zh-CN"/>
        </w:rPr>
        <w:t>方案</w:t>
      </w:r>
      <w:r>
        <w:rPr>
          <w:rFonts w:hint="eastAsia" w:ascii="Times New Roman" w:hAnsi="Times New Roman" w:eastAsia="宋体" w:cs="Times New Roman"/>
          <w:sz w:val="24"/>
        </w:rPr>
        <w:t>变更而导致数量改变的</w:t>
      </w:r>
      <w:r>
        <w:rPr>
          <w:rFonts w:hint="eastAsia" w:ascii="Times New Roman" w:hAnsi="Times New Roman" w:eastAsia="宋体" w:cs="Times New Roman"/>
          <w:sz w:val="24"/>
          <w:lang w:eastAsia="zh-CN"/>
        </w:rPr>
        <w:t>，</w:t>
      </w:r>
      <w:r>
        <w:rPr>
          <w:rFonts w:hint="eastAsia"/>
          <w:sz w:val="24"/>
          <w:lang w:eastAsia="zh-CN"/>
        </w:rPr>
        <w:t>招标人</w:t>
      </w:r>
      <w:r>
        <w:rPr>
          <w:rFonts w:hint="eastAsia"/>
          <w:sz w:val="24"/>
        </w:rPr>
        <w:t>人不再支付中标价以外的任何费用</w:t>
      </w:r>
      <w:r>
        <w:rPr>
          <w:rFonts w:hint="eastAsia"/>
          <w:sz w:val="24"/>
          <w:lang w:eastAsia="zh-CN"/>
        </w:rPr>
        <w:t>）</w:t>
      </w:r>
      <w:r>
        <w:rPr>
          <w:rFonts w:hint="eastAsia"/>
          <w:sz w:val="24"/>
        </w:rPr>
        <w:t>。</w:t>
      </w:r>
    </w:p>
    <w:p>
      <w:pPr>
        <w:spacing w:line="420" w:lineRule="atLeast"/>
        <w:ind w:firstLine="482" w:firstLineChars="200"/>
        <w:rPr>
          <w:b/>
          <w:sz w:val="24"/>
        </w:rPr>
      </w:pPr>
      <w:r>
        <w:rPr>
          <w:rFonts w:hint="eastAsia"/>
          <w:b/>
          <w:sz w:val="24"/>
        </w:rPr>
        <w:t>五、付款方式</w:t>
      </w:r>
    </w:p>
    <w:p>
      <w:pPr>
        <w:spacing w:line="420" w:lineRule="atLeast"/>
        <w:ind w:firstLine="480" w:firstLineChars="200"/>
        <w:rPr>
          <w:sz w:val="24"/>
        </w:rPr>
      </w:pPr>
      <w:r>
        <w:rPr>
          <w:rFonts w:hint="eastAsia"/>
          <w:sz w:val="24"/>
        </w:rPr>
        <w:t>1、</w:t>
      </w:r>
      <w:r>
        <w:rPr>
          <w:rFonts w:hint="eastAsia"/>
          <w:color w:val="FF0000"/>
          <w:sz w:val="24"/>
          <w:lang w:eastAsia="zh-CN"/>
        </w:rPr>
        <w:t>学校建议</w:t>
      </w:r>
      <w:r>
        <w:rPr>
          <w:rFonts w:hint="eastAsia"/>
          <w:color w:val="FF0000"/>
          <w:sz w:val="24"/>
        </w:rPr>
        <w:t>付款方式</w:t>
      </w:r>
      <w:r>
        <w:rPr>
          <w:rFonts w:hint="eastAsia"/>
          <w:sz w:val="24"/>
        </w:rPr>
        <w:t>：签订合同后</w:t>
      </w:r>
      <w:r>
        <w:rPr>
          <w:rFonts w:hint="eastAsia"/>
          <w:sz w:val="24"/>
          <w:lang w:val="en-US" w:eastAsia="zh-CN"/>
        </w:rPr>
        <w:t>10</w:t>
      </w:r>
      <w:r>
        <w:rPr>
          <w:rFonts w:hint="eastAsia"/>
          <w:sz w:val="24"/>
        </w:rPr>
        <w:t>个工作日内，采购人向中标供应商支付合同总价</w:t>
      </w:r>
      <w:r>
        <w:rPr>
          <w:rFonts w:hint="eastAsia"/>
          <w:sz w:val="24"/>
          <w:lang w:val="en-US" w:eastAsia="zh-CN"/>
        </w:rPr>
        <w:t>2</w:t>
      </w:r>
      <w:r>
        <w:rPr>
          <w:rFonts w:hint="eastAsia"/>
          <w:sz w:val="24"/>
        </w:rPr>
        <w:t>0%的预付款，全部设备安装完成经甲方和监理验收合格后一个月内付至合同总价的80%；验收</w:t>
      </w:r>
      <w:r>
        <w:rPr>
          <w:rFonts w:hint="eastAsia"/>
          <w:sz w:val="24"/>
          <w:lang w:eastAsia="zh-CN"/>
        </w:rPr>
        <w:t>合格满六</w:t>
      </w:r>
      <w:r>
        <w:rPr>
          <w:rFonts w:hint="eastAsia"/>
          <w:sz w:val="24"/>
        </w:rPr>
        <w:t>个月</w:t>
      </w:r>
      <w:r>
        <w:rPr>
          <w:rFonts w:hint="eastAsia"/>
          <w:sz w:val="24"/>
          <w:lang w:eastAsia="zh-CN"/>
        </w:rPr>
        <w:t>后一个月</w:t>
      </w:r>
      <w:r>
        <w:rPr>
          <w:rFonts w:hint="eastAsia"/>
          <w:sz w:val="24"/>
        </w:rPr>
        <w:t>内付</w:t>
      </w:r>
      <w:r>
        <w:rPr>
          <w:rFonts w:hint="eastAsia"/>
          <w:sz w:val="24"/>
          <w:lang w:eastAsia="zh-CN"/>
        </w:rPr>
        <w:t>至</w:t>
      </w:r>
      <w:r>
        <w:rPr>
          <w:rFonts w:hint="eastAsia"/>
          <w:sz w:val="24"/>
        </w:rPr>
        <w:t>总结算价的95%；剩余5%作为质保金，质保期为</w:t>
      </w:r>
      <w:r>
        <w:rPr>
          <w:rFonts w:hint="eastAsia"/>
          <w:sz w:val="24"/>
          <w:lang w:val="en-US" w:eastAsia="zh-CN"/>
        </w:rPr>
        <w:t>3</w:t>
      </w:r>
      <w:r>
        <w:rPr>
          <w:rFonts w:hint="eastAsia"/>
          <w:sz w:val="24"/>
        </w:rPr>
        <w:t>年，质量保修期自本工程通过验收之日起计算，扣除已支付款项及违约金满</w:t>
      </w:r>
      <w:r>
        <w:rPr>
          <w:rFonts w:hint="eastAsia"/>
          <w:sz w:val="24"/>
          <w:lang w:eastAsia="zh-CN"/>
        </w:rPr>
        <w:t>三</w:t>
      </w:r>
      <w:r>
        <w:rPr>
          <w:rFonts w:hint="eastAsia"/>
          <w:sz w:val="24"/>
        </w:rPr>
        <w:t>年后一次付清（无息）。</w:t>
      </w:r>
    </w:p>
    <w:p>
      <w:pPr>
        <w:spacing w:line="420" w:lineRule="atLeast"/>
        <w:ind w:firstLine="480" w:firstLineChars="200"/>
        <w:rPr>
          <w:sz w:val="24"/>
        </w:rPr>
      </w:pPr>
      <w:r>
        <w:rPr>
          <w:rFonts w:hint="eastAsia"/>
          <w:sz w:val="24"/>
        </w:rPr>
        <w:t>2、卖方应开具有效的增值税发票（</w:t>
      </w:r>
      <w:r>
        <w:rPr>
          <w:rFonts w:hint="eastAsia"/>
          <w:color w:val="FF0000"/>
          <w:sz w:val="24"/>
        </w:rPr>
        <w:t>总价的70%为13%税率的材料票，总价的30%为9%建安发票</w:t>
      </w:r>
      <w:r>
        <w:rPr>
          <w:rFonts w:hint="eastAsia"/>
          <w:sz w:val="24"/>
        </w:rPr>
        <w:t>）。</w:t>
      </w:r>
    </w:p>
    <w:p>
      <w:pPr>
        <w:spacing w:line="420" w:lineRule="atLeast"/>
        <w:ind w:firstLine="480" w:firstLineChars="200"/>
        <w:rPr>
          <w:sz w:val="24"/>
        </w:rPr>
      </w:pPr>
      <w:r>
        <w:rPr>
          <w:rFonts w:hint="eastAsia"/>
          <w:sz w:val="24"/>
        </w:rPr>
        <w:t>3、对以上付款方式有异议者，卖方在报价时可同时提出。</w:t>
      </w:r>
    </w:p>
    <w:p>
      <w:pPr>
        <w:spacing w:line="420" w:lineRule="atLeast"/>
        <w:ind w:firstLine="482" w:firstLineChars="200"/>
        <w:rPr>
          <w:sz w:val="24"/>
        </w:rPr>
      </w:pPr>
      <w:r>
        <w:rPr>
          <w:rFonts w:hint="eastAsia"/>
          <w:b/>
          <w:sz w:val="24"/>
        </w:rPr>
        <w:t>六、履约保证金</w:t>
      </w:r>
    </w:p>
    <w:p>
      <w:pPr>
        <w:spacing w:line="440" w:lineRule="exact"/>
        <w:ind w:firstLine="480" w:firstLineChars="200"/>
        <w:rPr>
          <w:rFonts w:ascii="宋体" w:hAnsi="宋体"/>
          <w:sz w:val="24"/>
        </w:rPr>
      </w:pPr>
      <w:r>
        <w:rPr>
          <w:rFonts w:hint="eastAsia" w:ascii="宋体" w:hAnsi="宋体"/>
          <w:sz w:val="24"/>
        </w:rPr>
        <w:t>中标单位</w:t>
      </w:r>
      <w:r>
        <w:rPr>
          <w:rFonts w:hint="eastAsia" w:ascii="宋体" w:hAnsi="宋体"/>
          <w:sz w:val="24"/>
          <w:lang w:eastAsia="zh-CN"/>
        </w:rPr>
        <w:t>缴纳</w:t>
      </w:r>
      <w:r>
        <w:rPr>
          <w:rFonts w:hint="eastAsia" w:ascii="宋体" w:hAnsi="宋体"/>
          <w:sz w:val="24"/>
        </w:rPr>
        <w:t>的投标保证金则转为履约保证金，</w:t>
      </w:r>
      <w:r>
        <w:rPr>
          <w:rFonts w:hint="eastAsia" w:ascii="宋体" w:hAnsi="宋体"/>
          <w:sz w:val="24"/>
          <w:lang w:eastAsia="zh-CN"/>
        </w:rPr>
        <w:t>项目结束且验收合格后</w:t>
      </w:r>
      <w:r>
        <w:rPr>
          <w:rFonts w:hint="eastAsia" w:ascii="宋体" w:hAnsi="宋体"/>
          <w:sz w:val="24"/>
        </w:rPr>
        <w:t>，将等额无息退还。</w:t>
      </w:r>
    </w:p>
    <w:p>
      <w:pPr>
        <w:spacing w:line="420" w:lineRule="atLeast"/>
        <w:ind w:firstLine="482" w:firstLineChars="200"/>
        <w:rPr>
          <w:b/>
          <w:sz w:val="24"/>
        </w:rPr>
      </w:pPr>
      <w:r>
        <w:rPr>
          <w:rFonts w:hint="eastAsia"/>
          <w:b/>
          <w:sz w:val="24"/>
        </w:rPr>
        <w:t>七、质量保证期及售后服务</w:t>
      </w:r>
    </w:p>
    <w:p>
      <w:pPr>
        <w:spacing w:line="420" w:lineRule="atLeast"/>
        <w:ind w:firstLine="480" w:firstLineChars="200"/>
        <w:rPr>
          <w:rFonts w:hint="eastAsia"/>
          <w:sz w:val="24"/>
        </w:rPr>
      </w:pPr>
      <w:r>
        <w:rPr>
          <w:rFonts w:hint="eastAsia"/>
          <w:sz w:val="24"/>
        </w:rPr>
        <w:t>1、整体项目质保期</w:t>
      </w:r>
      <w:r>
        <w:rPr>
          <w:rFonts w:hint="eastAsia"/>
          <w:sz w:val="24"/>
          <w:lang w:val="en-US" w:eastAsia="zh-CN"/>
        </w:rPr>
        <w:t>3</w:t>
      </w:r>
      <w:r>
        <w:rPr>
          <w:rFonts w:hint="eastAsia"/>
          <w:sz w:val="24"/>
        </w:rPr>
        <w:t>年</w:t>
      </w:r>
      <w:r>
        <w:rPr>
          <w:rFonts w:hint="eastAsia"/>
          <w:sz w:val="24"/>
          <w:lang w:eastAsia="zh-CN"/>
        </w:rPr>
        <w:t>（</w:t>
      </w:r>
      <w:r>
        <w:rPr>
          <w:rFonts w:hint="eastAsia"/>
          <w:sz w:val="24"/>
        </w:rPr>
        <w:t>其中电气部分按国家规范，采购需求文件中技术要求部分有其他规定的按要求执行</w:t>
      </w:r>
      <w:r>
        <w:rPr>
          <w:rFonts w:hint="eastAsia"/>
          <w:sz w:val="24"/>
          <w:lang w:eastAsia="zh-CN"/>
        </w:rPr>
        <w:t>）</w:t>
      </w:r>
      <w:r>
        <w:rPr>
          <w:rFonts w:hint="eastAsia"/>
          <w:sz w:val="24"/>
        </w:rPr>
        <w:t>。质保期从验收合格投入使用之日起计</w:t>
      </w:r>
      <w:r>
        <w:rPr>
          <w:rFonts w:hint="eastAsia"/>
          <w:sz w:val="24"/>
          <w:lang w:eastAsia="zh-CN"/>
        </w:rPr>
        <w:t>，</w:t>
      </w:r>
      <w:r>
        <w:rPr>
          <w:rFonts w:hint="eastAsia"/>
          <w:sz w:val="24"/>
        </w:rPr>
        <w:t>所有产品按国家“三包”规定保修。终身提供技术支持服务</w:t>
      </w:r>
      <w:r>
        <w:rPr>
          <w:rFonts w:hint="eastAsia"/>
          <w:sz w:val="24"/>
          <w:lang w:eastAsia="zh-CN"/>
        </w:rPr>
        <w:t>，</w:t>
      </w:r>
      <w:r>
        <w:rPr>
          <w:rFonts w:hint="eastAsia"/>
          <w:sz w:val="24"/>
        </w:rPr>
        <w:t>在质保</w:t>
      </w:r>
      <w:r>
        <w:rPr>
          <w:rFonts w:hint="eastAsia"/>
          <w:sz w:val="24"/>
          <w:lang w:eastAsia="zh-CN"/>
        </w:rPr>
        <w:t>期</w:t>
      </w:r>
      <w:r>
        <w:rPr>
          <w:rFonts w:hint="eastAsia"/>
          <w:sz w:val="24"/>
        </w:rPr>
        <w:t>内因货物质量、安装而造成货物损坏</w:t>
      </w:r>
      <w:r>
        <w:rPr>
          <w:rFonts w:hint="eastAsia"/>
          <w:sz w:val="24"/>
          <w:lang w:eastAsia="zh-CN"/>
        </w:rPr>
        <w:t>，</w:t>
      </w:r>
      <w:r>
        <w:rPr>
          <w:rFonts w:hint="eastAsia"/>
          <w:sz w:val="24"/>
        </w:rPr>
        <w:t>其全部费用由中标人负责。每学期要求至少巡检一次。</w:t>
      </w:r>
    </w:p>
    <w:p>
      <w:pPr>
        <w:spacing w:line="420" w:lineRule="atLeast"/>
        <w:ind w:firstLine="480" w:firstLineChars="200"/>
        <w:rPr>
          <w:rFonts w:hint="eastAsia"/>
          <w:color w:val="auto"/>
          <w:sz w:val="24"/>
        </w:rPr>
      </w:pPr>
      <w:r>
        <w:rPr>
          <w:rFonts w:hint="eastAsia"/>
          <w:color w:val="auto"/>
          <w:sz w:val="24"/>
        </w:rPr>
        <w:t>2、供应商</w:t>
      </w:r>
      <w:r>
        <w:rPr>
          <w:rFonts w:hint="eastAsia"/>
          <w:color w:val="auto"/>
          <w:sz w:val="24"/>
          <w:lang w:eastAsia="zh-CN"/>
        </w:rPr>
        <w:t>提供</w:t>
      </w:r>
      <w:r>
        <w:rPr>
          <w:rFonts w:hint="eastAsia"/>
          <w:color w:val="auto"/>
          <w:sz w:val="24"/>
        </w:rPr>
        <w:t>售后服务方案</w:t>
      </w:r>
      <w:r>
        <w:rPr>
          <w:rFonts w:hint="eastAsia"/>
          <w:color w:val="auto"/>
          <w:sz w:val="24"/>
          <w:lang w:eastAsia="zh-CN"/>
        </w:rPr>
        <w:t>，售后服务方案包括但不限于：</w:t>
      </w:r>
    </w:p>
    <w:p>
      <w:pPr>
        <w:spacing w:line="420" w:lineRule="atLeast"/>
        <w:ind w:firstLine="480" w:firstLineChars="200"/>
        <w:rPr>
          <w:rFonts w:hint="eastAsia"/>
          <w:color w:val="auto"/>
          <w:sz w:val="24"/>
        </w:rPr>
      </w:pPr>
      <w:r>
        <w:rPr>
          <w:rFonts w:hint="eastAsia"/>
          <w:color w:val="auto"/>
          <w:sz w:val="24"/>
          <w:lang w:eastAsia="zh-CN"/>
        </w:rPr>
        <w:t>（</w:t>
      </w:r>
      <w:r>
        <w:rPr>
          <w:rFonts w:hint="eastAsia"/>
          <w:color w:val="auto"/>
          <w:sz w:val="24"/>
          <w:lang w:val="en-US" w:eastAsia="zh-CN"/>
        </w:rPr>
        <w:t>1</w:t>
      </w:r>
      <w:r>
        <w:rPr>
          <w:rFonts w:hint="eastAsia"/>
          <w:color w:val="auto"/>
          <w:sz w:val="24"/>
          <w:lang w:eastAsia="zh-CN"/>
        </w:rPr>
        <w:t>）</w:t>
      </w:r>
      <w:r>
        <w:rPr>
          <w:rFonts w:hint="eastAsia"/>
          <w:color w:val="auto"/>
          <w:sz w:val="24"/>
        </w:rPr>
        <w:t>提供合理清晰的故障处理流程、维护保障流程及组织架构；</w:t>
      </w:r>
    </w:p>
    <w:p>
      <w:pPr>
        <w:spacing w:line="420" w:lineRule="atLeast"/>
        <w:ind w:firstLine="480" w:firstLineChars="200"/>
        <w:rPr>
          <w:rFonts w:hint="eastAsia"/>
          <w:color w:val="auto"/>
          <w:sz w:val="24"/>
        </w:rPr>
      </w:pPr>
      <w:r>
        <w:rPr>
          <w:rFonts w:hint="eastAsia"/>
          <w:color w:val="auto"/>
          <w:sz w:val="24"/>
          <w:lang w:eastAsia="zh-CN"/>
        </w:rPr>
        <w:t>（</w:t>
      </w:r>
      <w:r>
        <w:rPr>
          <w:rFonts w:hint="eastAsia"/>
          <w:color w:val="auto"/>
          <w:sz w:val="24"/>
          <w:lang w:val="en-US" w:eastAsia="zh-CN"/>
        </w:rPr>
        <w:t>2</w:t>
      </w:r>
      <w:r>
        <w:rPr>
          <w:rFonts w:hint="eastAsia"/>
          <w:color w:val="auto"/>
          <w:sz w:val="24"/>
          <w:lang w:eastAsia="zh-CN"/>
        </w:rPr>
        <w:t>）</w:t>
      </w:r>
      <w:r>
        <w:rPr>
          <w:rFonts w:hint="eastAsia"/>
          <w:color w:val="auto"/>
          <w:sz w:val="24"/>
        </w:rPr>
        <w:t>对本项目的风险预见、风险应对措施完备，到达故障现场时间；</w:t>
      </w:r>
    </w:p>
    <w:p>
      <w:pPr>
        <w:spacing w:line="420" w:lineRule="atLeast"/>
        <w:ind w:firstLine="480" w:firstLineChars="200"/>
        <w:rPr>
          <w:rFonts w:hint="eastAsia"/>
          <w:color w:val="auto"/>
          <w:sz w:val="24"/>
        </w:rPr>
      </w:pPr>
      <w:r>
        <w:rPr>
          <w:rFonts w:hint="eastAsia"/>
          <w:color w:val="auto"/>
          <w:sz w:val="24"/>
          <w:lang w:eastAsia="zh-CN"/>
        </w:rPr>
        <w:t>（</w:t>
      </w:r>
      <w:r>
        <w:rPr>
          <w:rFonts w:hint="eastAsia"/>
          <w:color w:val="auto"/>
          <w:sz w:val="24"/>
          <w:lang w:val="en-US" w:eastAsia="zh-CN"/>
        </w:rPr>
        <w:t>3</w:t>
      </w:r>
      <w:r>
        <w:rPr>
          <w:rFonts w:hint="eastAsia"/>
          <w:color w:val="auto"/>
          <w:sz w:val="24"/>
          <w:lang w:eastAsia="zh-CN"/>
        </w:rPr>
        <w:t>）</w:t>
      </w:r>
      <w:r>
        <w:rPr>
          <w:rFonts w:hint="eastAsia"/>
          <w:color w:val="auto"/>
          <w:sz w:val="24"/>
        </w:rPr>
        <w:t>售后服务方案、响应时间、维修时间、定期回访、售后服务保障</w:t>
      </w:r>
    </w:p>
    <w:p>
      <w:pPr>
        <w:spacing w:line="420" w:lineRule="atLeast"/>
        <w:ind w:firstLine="480" w:firstLineChars="200"/>
        <w:rPr>
          <w:rFonts w:hint="eastAsia"/>
          <w:color w:val="auto"/>
          <w:sz w:val="24"/>
        </w:rPr>
      </w:pPr>
      <w:r>
        <w:rPr>
          <w:rFonts w:hint="eastAsia"/>
          <w:color w:val="auto"/>
          <w:sz w:val="24"/>
          <w:lang w:eastAsia="zh-CN"/>
        </w:rPr>
        <w:t>（</w:t>
      </w:r>
      <w:r>
        <w:rPr>
          <w:rFonts w:hint="eastAsia"/>
          <w:color w:val="auto"/>
          <w:sz w:val="24"/>
          <w:lang w:val="en-US" w:eastAsia="zh-CN"/>
        </w:rPr>
        <w:t>4</w:t>
      </w:r>
      <w:r>
        <w:rPr>
          <w:rFonts w:hint="eastAsia"/>
          <w:color w:val="auto"/>
          <w:sz w:val="24"/>
          <w:lang w:eastAsia="zh-CN"/>
        </w:rPr>
        <w:t>）</w:t>
      </w:r>
      <w:r>
        <w:rPr>
          <w:rFonts w:hint="eastAsia"/>
          <w:color w:val="auto"/>
          <w:sz w:val="24"/>
        </w:rPr>
        <w:t>对设备进行维护保养的详细清单、配件耗材价格表及更换周期；</w:t>
      </w:r>
    </w:p>
    <w:p>
      <w:pPr>
        <w:spacing w:line="420" w:lineRule="atLeast"/>
        <w:ind w:firstLine="480" w:firstLineChars="200"/>
        <w:rPr>
          <w:rFonts w:hint="eastAsia"/>
          <w:color w:val="auto"/>
          <w:sz w:val="24"/>
        </w:rPr>
      </w:pPr>
      <w:r>
        <w:rPr>
          <w:rFonts w:hint="eastAsia"/>
          <w:color w:val="auto"/>
          <w:sz w:val="24"/>
          <w:lang w:eastAsia="zh-CN"/>
        </w:rPr>
        <w:t>（</w:t>
      </w:r>
      <w:r>
        <w:rPr>
          <w:rFonts w:hint="eastAsia"/>
          <w:color w:val="auto"/>
          <w:sz w:val="24"/>
          <w:lang w:val="en-US" w:eastAsia="zh-CN"/>
        </w:rPr>
        <w:t>5</w:t>
      </w:r>
      <w:r>
        <w:rPr>
          <w:rFonts w:hint="eastAsia"/>
          <w:color w:val="auto"/>
          <w:sz w:val="24"/>
          <w:lang w:eastAsia="zh-CN"/>
        </w:rPr>
        <w:t>）</w:t>
      </w:r>
      <w:r>
        <w:rPr>
          <w:rFonts w:hint="eastAsia"/>
          <w:color w:val="auto"/>
          <w:sz w:val="24"/>
        </w:rPr>
        <w:t>定期更换下来危废数量及品种。</w:t>
      </w:r>
    </w:p>
    <w:p>
      <w:pPr>
        <w:spacing w:line="420" w:lineRule="atLeast"/>
        <w:ind w:firstLine="480" w:firstLineChars="200"/>
        <w:rPr>
          <w:color w:val="auto"/>
        </w:rPr>
      </w:pPr>
      <w:r>
        <w:rPr>
          <w:rFonts w:hint="eastAsia"/>
          <w:color w:val="auto"/>
          <w:sz w:val="24"/>
          <w:lang w:eastAsia="zh-CN"/>
        </w:rPr>
        <w:t>（</w:t>
      </w:r>
      <w:r>
        <w:rPr>
          <w:rFonts w:hint="eastAsia"/>
          <w:color w:val="auto"/>
          <w:sz w:val="24"/>
          <w:lang w:val="en-US" w:eastAsia="zh-CN"/>
        </w:rPr>
        <w:t>6</w:t>
      </w:r>
      <w:r>
        <w:rPr>
          <w:rFonts w:hint="eastAsia"/>
          <w:color w:val="auto"/>
          <w:sz w:val="24"/>
          <w:lang w:eastAsia="zh-CN"/>
        </w:rPr>
        <w:t>）</w:t>
      </w:r>
      <w:r>
        <w:rPr>
          <w:rFonts w:hint="eastAsia"/>
          <w:color w:val="auto"/>
          <w:sz w:val="24"/>
        </w:rPr>
        <w:t>质保期满后5年内配件、耗材、备品备件报价</w:t>
      </w:r>
    </w:p>
    <w:p>
      <w:pPr>
        <w:spacing w:line="420" w:lineRule="atLeast"/>
        <w:ind w:firstLine="480" w:firstLineChars="200"/>
        <w:rPr>
          <w:color w:val="auto"/>
          <w:sz w:val="24"/>
        </w:rPr>
      </w:pPr>
      <w:r>
        <w:rPr>
          <w:rFonts w:hint="eastAsia"/>
          <w:color w:val="auto"/>
          <w:sz w:val="24"/>
          <w:lang w:val="en-US" w:eastAsia="zh-CN"/>
        </w:rPr>
        <w:t>3</w:t>
      </w:r>
      <w:r>
        <w:rPr>
          <w:rFonts w:hint="eastAsia"/>
          <w:color w:val="auto"/>
          <w:sz w:val="24"/>
        </w:rPr>
        <w:t>、售后服务的其他条款</w:t>
      </w:r>
    </w:p>
    <w:p>
      <w:pPr>
        <w:spacing w:line="420" w:lineRule="atLeast"/>
        <w:ind w:firstLine="480" w:firstLineChars="200"/>
        <w:rPr>
          <w:sz w:val="24"/>
        </w:rPr>
      </w:pPr>
      <w:r>
        <w:rPr>
          <w:rFonts w:hint="eastAsia"/>
          <w:sz w:val="24"/>
        </w:rPr>
        <w:t>（</w:t>
      </w:r>
      <w:r>
        <w:rPr>
          <w:sz w:val="24"/>
        </w:rPr>
        <w:t>1</w:t>
      </w:r>
      <w:r>
        <w:rPr>
          <w:rFonts w:hint="eastAsia"/>
          <w:sz w:val="24"/>
        </w:rPr>
        <w:t>）在质保期内，供应商应对货物出现的质量及安全问题负责处理解决并承担一切费用。</w:t>
      </w:r>
    </w:p>
    <w:p>
      <w:pPr>
        <w:spacing w:line="420" w:lineRule="atLeast"/>
        <w:ind w:firstLine="480" w:firstLineChars="200"/>
        <w:rPr>
          <w:sz w:val="24"/>
        </w:rPr>
      </w:pPr>
      <w:r>
        <w:rPr>
          <w:rFonts w:hint="eastAsia"/>
          <w:sz w:val="24"/>
        </w:rPr>
        <w:t>（</w:t>
      </w:r>
      <w:r>
        <w:rPr>
          <w:sz w:val="24"/>
        </w:rPr>
        <w:t>2</w:t>
      </w:r>
      <w:r>
        <w:rPr>
          <w:rFonts w:hint="eastAsia"/>
          <w:sz w:val="24"/>
        </w:rPr>
        <w:t>）质保期内出现无法排除的故障，供应商需无条件更换同型号产品。</w:t>
      </w:r>
    </w:p>
    <w:p>
      <w:pPr>
        <w:spacing w:line="420" w:lineRule="atLeast"/>
        <w:ind w:firstLine="480" w:firstLineChars="200"/>
        <w:rPr>
          <w:sz w:val="24"/>
        </w:rPr>
      </w:pPr>
      <w:r>
        <w:rPr>
          <w:rFonts w:hint="eastAsia"/>
          <w:sz w:val="24"/>
        </w:rPr>
        <w:t>（</w:t>
      </w:r>
      <w:r>
        <w:rPr>
          <w:sz w:val="24"/>
        </w:rPr>
        <w:t>3</w:t>
      </w:r>
      <w:r>
        <w:rPr>
          <w:rFonts w:hint="eastAsia"/>
          <w:sz w:val="24"/>
        </w:rPr>
        <w:t>）质保期满后，供应商继续为采购人服务，仅收取零配件成本费。</w:t>
      </w:r>
    </w:p>
    <w:p>
      <w:pPr>
        <w:spacing w:line="420" w:lineRule="atLeast"/>
        <w:ind w:firstLine="480" w:firstLineChars="200"/>
        <w:rPr>
          <w:sz w:val="24"/>
        </w:rPr>
      </w:pPr>
      <w:r>
        <w:rPr>
          <w:rFonts w:hint="eastAsia"/>
          <w:sz w:val="24"/>
        </w:rPr>
        <w:t>（</w:t>
      </w:r>
      <w:r>
        <w:rPr>
          <w:sz w:val="24"/>
        </w:rPr>
        <w:t>4</w:t>
      </w:r>
      <w:r>
        <w:rPr>
          <w:rFonts w:hint="eastAsia"/>
          <w:sz w:val="24"/>
        </w:rPr>
        <w:t>）因人为因素出现的故障不在免费保修范围内。</w:t>
      </w:r>
    </w:p>
    <w:p>
      <w:pPr>
        <w:spacing w:line="420" w:lineRule="atLeast"/>
        <w:ind w:firstLine="480" w:firstLineChars="200"/>
        <w:rPr>
          <w:sz w:val="24"/>
        </w:rPr>
      </w:pPr>
      <w:r>
        <w:rPr>
          <w:rFonts w:hint="eastAsia"/>
          <w:sz w:val="24"/>
        </w:rPr>
        <w:t>（</w:t>
      </w:r>
      <w:r>
        <w:rPr>
          <w:sz w:val="24"/>
        </w:rPr>
        <w:t>5</w:t>
      </w:r>
      <w:r>
        <w:rPr>
          <w:rFonts w:hint="eastAsia"/>
          <w:sz w:val="24"/>
        </w:rPr>
        <w:t>）如在使用过程中发生质量问题，供应商维修响应时间：2小时以内；电话技术支持时间：12小时以内；若需上门维修，则在：24小时内到达现场并进行维修；不超过2个工作日解决故障。</w:t>
      </w:r>
    </w:p>
    <w:p>
      <w:pPr>
        <w:spacing w:line="420" w:lineRule="atLeast"/>
        <w:ind w:firstLine="480" w:firstLineChars="200"/>
        <w:rPr>
          <w:sz w:val="24"/>
        </w:rPr>
      </w:pPr>
      <w:r>
        <w:rPr>
          <w:rFonts w:hint="eastAsia"/>
          <w:sz w:val="24"/>
        </w:rPr>
        <w:t>（</w:t>
      </w:r>
      <w:r>
        <w:rPr>
          <w:sz w:val="24"/>
        </w:rPr>
        <w:t>6</w:t>
      </w:r>
      <w:r>
        <w:rPr>
          <w:rFonts w:hint="eastAsia"/>
          <w:sz w:val="24"/>
        </w:rPr>
        <w:t>）培训：供应商应对采购人的操作人员、维修人员免费进行培训；供应商应提供相应的培训计划</w:t>
      </w:r>
    </w:p>
    <w:p>
      <w:pPr>
        <w:spacing w:line="420" w:lineRule="atLeast"/>
        <w:ind w:firstLine="482" w:firstLineChars="200"/>
        <w:rPr>
          <w:b/>
          <w:sz w:val="24"/>
        </w:rPr>
      </w:pPr>
      <w:r>
        <w:rPr>
          <w:rFonts w:hint="eastAsia"/>
          <w:b/>
          <w:sz w:val="24"/>
        </w:rPr>
        <w:t>八、验收标准</w:t>
      </w:r>
    </w:p>
    <w:p>
      <w:pPr>
        <w:spacing w:line="420" w:lineRule="atLeast"/>
        <w:ind w:firstLine="480" w:firstLineChars="200"/>
        <w:rPr>
          <w:rFonts w:hint="eastAsia" w:eastAsia="宋体"/>
          <w:sz w:val="24"/>
          <w:lang w:eastAsia="zh-CN"/>
        </w:rPr>
      </w:pPr>
      <w:r>
        <w:rPr>
          <w:rFonts w:hint="eastAsia"/>
          <w:sz w:val="24"/>
        </w:rPr>
        <w:t>1、验收由</w:t>
      </w:r>
      <w:r>
        <w:rPr>
          <w:rFonts w:hint="eastAsia"/>
          <w:sz w:val="24"/>
          <w:lang w:eastAsia="zh-CN"/>
        </w:rPr>
        <w:t>招标</w:t>
      </w:r>
      <w:r>
        <w:rPr>
          <w:rFonts w:hint="eastAsia"/>
          <w:sz w:val="24"/>
        </w:rPr>
        <w:t>人负责</w:t>
      </w:r>
      <w:r>
        <w:rPr>
          <w:rFonts w:hint="eastAsia"/>
          <w:sz w:val="24"/>
          <w:lang w:eastAsia="zh-CN"/>
        </w:rPr>
        <w:t>组织</w:t>
      </w:r>
      <w:r>
        <w:rPr>
          <w:rFonts w:hint="eastAsia"/>
          <w:sz w:val="24"/>
        </w:rPr>
        <w:t>实施</w:t>
      </w:r>
      <w:r>
        <w:rPr>
          <w:rFonts w:hint="eastAsia"/>
          <w:sz w:val="24"/>
          <w:lang w:eastAsia="zh-CN"/>
        </w:rPr>
        <w:t>，</w:t>
      </w:r>
      <w:r>
        <w:rPr>
          <w:rFonts w:hint="eastAsia" w:ascii="Times New Roman" w:hAnsi="Times New Roman" w:eastAsia="宋体" w:cs="Times New Roman"/>
          <w:sz w:val="24"/>
        </w:rPr>
        <w:t>本工程的产品质量必须符合现行国家、行业及工程所在地地方标准和技术规范及</w:t>
      </w:r>
      <w:r>
        <w:rPr>
          <w:rFonts w:hint="eastAsia" w:ascii="Times New Roman" w:hAnsi="Times New Roman" w:eastAsia="宋体" w:cs="Times New Roman"/>
          <w:sz w:val="24"/>
          <w:lang w:eastAsia="zh-CN"/>
        </w:rPr>
        <w:t>招标人</w:t>
      </w:r>
      <w:r>
        <w:rPr>
          <w:rFonts w:hint="eastAsia" w:ascii="Times New Roman" w:hAnsi="Times New Roman" w:eastAsia="宋体" w:cs="Times New Roman"/>
          <w:sz w:val="24"/>
        </w:rPr>
        <w:t>的要求。施工材料进场前，甲方组织相关人员随机抽检材料，并送相关检测机构进行检测</w:t>
      </w:r>
      <w:r>
        <w:rPr>
          <w:rFonts w:hint="eastAsia" w:cs="Times New Roman"/>
          <w:sz w:val="24"/>
          <w:lang w:eastAsia="zh-CN"/>
        </w:rPr>
        <w:t>。</w:t>
      </w:r>
    </w:p>
    <w:p>
      <w:pPr>
        <w:spacing w:line="420" w:lineRule="atLeast"/>
        <w:ind w:firstLine="480" w:firstLineChars="200"/>
        <w:rPr>
          <w:sz w:val="24"/>
        </w:rPr>
      </w:pPr>
      <w:r>
        <w:rPr>
          <w:sz w:val="24"/>
        </w:rPr>
        <w:t>2</w:t>
      </w:r>
      <w:r>
        <w:rPr>
          <w:rFonts w:hint="eastAsia"/>
          <w:sz w:val="24"/>
          <w:lang w:eastAsia="zh-CN"/>
        </w:rPr>
        <w:t>、</w:t>
      </w:r>
      <w:r>
        <w:rPr>
          <w:rFonts w:hint="eastAsia"/>
          <w:sz w:val="24"/>
        </w:rPr>
        <w:t>验收依据：</w:t>
      </w:r>
    </w:p>
    <w:p>
      <w:pPr>
        <w:spacing w:line="420" w:lineRule="atLeast"/>
        <w:ind w:firstLine="480" w:firstLineChars="200"/>
        <w:rPr>
          <w:sz w:val="24"/>
        </w:rPr>
      </w:pPr>
      <w:r>
        <w:rPr>
          <w:rFonts w:hint="eastAsia"/>
          <w:sz w:val="24"/>
        </w:rPr>
        <w:t>（</w:t>
      </w:r>
      <w:r>
        <w:rPr>
          <w:sz w:val="24"/>
        </w:rPr>
        <w:t>1</w:t>
      </w:r>
      <w:r>
        <w:rPr>
          <w:rFonts w:hint="eastAsia"/>
          <w:sz w:val="24"/>
        </w:rPr>
        <w:t>）合同、招标文件、</w:t>
      </w:r>
      <w:r>
        <w:rPr>
          <w:rFonts w:hint="eastAsia"/>
          <w:sz w:val="24"/>
          <w:lang w:eastAsia="zh-CN"/>
        </w:rPr>
        <w:t>招标人现场代表签字确认的方案等</w:t>
      </w:r>
      <w:r>
        <w:rPr>
          <w:rFonts w:hint="eastAsia"/>
          <w:sz w:val="24"/>
        </w:rPr>
        <w:t>；</w:t>
      </w:r>
    </w:p>
    <w:p>
      <w:pPr>
        <w:spacing w:line="420" w:lineRule="atLeast"/>
        <w:ind w:firstLine="480" w:firstLineChars="200"/>
        <w:rPr>
          <w:sz w:val="24"/>
        </w:rPr>
      </w:pPr>
      <w:r>
        <w:rPr>
          <w:rFonts w:hint="eastAsia"/>
          <w:sz w:val="24"/>
        </w:rPr>
        <w:t>（</w:t>
      </w:r>
      <w:r>
        <w:rPr>
          <w:sz w:val="24"/>
        </w:rPr>
        <w:t>2</w:t>
      </w:r>
      <w:r>
        <w:rPr>
          <w:rFonts w:hint="eastAsia"/>
          <w:sz w:val="24"/>
        </w:rPr>
        <w:t>）供应商提供的技术规格、经采购人认可的合同货物的有效检验文件；</w:t>
      </w:r>
    </w:p>
    <w:p>
      <w:pPr>
        <w:spacing w:line="420" w:lineRule="atLeast"/>
        <w:ind w:firstLine="480" w:firstLineChars="200"/>
        <w:rPr>
          <w:sz w:val="24"/>
        </w:rPr>
      </w:pPr>
      <w:r>
        <w:rPr>
          <w:rFonts w:hint="eastAsia"/>
          <w:sz w:val="24"/>
        </w:rPr>
        <w:t>（</w:t>
      </w:r>
      <w:r>
        <w:rPr>
          <w:sz w:val="24"/>
        </w:rPr>
        <w:t>3</w:t>
      </w:r>
      <w:r>
        <w:rPr>
          <w:rFonts w:hint="eastAsia"/>
          <w:sz w:val="24"/>
        </w:rPr>
        <w:t>）供应商响应文件中提供的经采购人认可的合同货物的验收标准（符合中国有关的国家、地方、行业标准）和检测办法及相应检测手段。</w:t>
      </w:r>
    </w:p>
    <w:p>
      <w:pPr>
        <w:spacing w:line="420" w:lineRule="atLeast"/>
        <w:ind w:firstLine="480" w:firstLineChars="200"/>
        <w:rPr>
          <w:sz w:val="24"/>
        </w:rPr>
      </w:pPr>
      <w:r>
        <w:rPr>
          <w:sz w:val="24"/>
        </w:rPr>
        <w:t>3</w:t>
      </w:r>
      <w:r>
        <w:rPr>
          <w:rFonts w:hint="eastAsia"/>
          <w:sz w:val="24"/>
        </w:rPr>
        <w:t>、供应商应派</w:t>
      </w:r>
      <w:r>
        <w:rPr>
          <w:rFonts w:hint="eastAsia"/>
          <w:sz w:val="24"/>
          <w:lang w:eastAsia="zh-CN"/>
        </w:rPr>
        <w:t>专</w:t>
      </w:r>
      <w:r>
        <w:rPr>
          <w:rFonts w:hint="eastAsia"/>
          <w:sz w:val="24"/>
        </w:rPr>
        <w:t>员在所供货物到采购人处时进行到货验收，有需要时能联系产品制造商到场共同验收，若发现任何损坏及质量问题，供应商负责妥善处理直至采购人满意，由此产生的费用由供应商承担。</w:t>
      </w:r>
    </w:p>
    <w:p>
      <w:pPr>
        <w:spacing w:line="420" w:lineRule="atLeast"/>
        <w:ind w:firstLine="480" w:firstLineChars="200"/>
        <w:rPr>
          <w:sz w:val="24"/>
        </w:rPr>
      </w:pPr>
      <w:r>
        <w:rPr>
          <w:sz w:val="24"/>
        </w:rPr>
        <w:t>4</w:t>
      </w:r>
      <w:r>
        <w:rPr>
          <w:rFonts w:hint="eastAsia"/>
          <w:sz w:val="24"/>
        </w:rPr>
        <w:t>、验收合格的条件：</w:t>
      </w:r>
    </w:p>
    <w:p>
      <w:pPr>
        <w:spacing w:line="420" w:lineRule="atLeast"/>
        <w:ind w:firstLine="480" w:firstLineChars="200"/>
        <w:rPr>
          <w:sz w:val="24"/>
        </w:rPr>
      </w:pPr>
      <w:r>
        <w:rPr>
          <w:rFonts w:hint="eastAsia"/>
          <w:sz w:val="24"/>
        </w:rPr>
        <w:t>（</w:t>
      </w:r>
      <w:r>
        <w:rPr>
          <w:sz w:val="24"/>
        </w:rPr>
        <w:t>1</w:t>
      </w:r>
      <w:r>
        <w:rPr>
          <w:rFonts w:hint="eastAsia"/>
          <w:sz w:val="24"/>
        </w:rPr>
        <w:t>）所供货物符合产品标准和及合同的要求；</w:t>
      </w:r>
    </w:p>
    <w:p>
      <w:pPr>
        <w:spacing w:line="420" w:lineRule="atLeast"/>
        <w:ind w:firstLine="480" w:firstLineChars="200"/>
        <w:rPr>
          <w:sz w:val="24"/>
        </w:rPr>
      </w:pPr>
      <w:r>
        <w:rPr>
          <w:rFonts w:hint="eastAsia"/>
          <w:sz w:val="24"/>
        </w:rPr>
        <w:t>（</w:t>
      </w:r>
      <w:r>
        <w:rPr>
          <w:sz w:val="24"/>
        </w:rPr>
        <w:t>2</w:t>
      </w:r>
      <w:r>
        <w:rPr>
          <w:rFonts w:hint="eastAsia"/>
          <w:sz w:val="24"/>
        </w:rPr>
        <w:t>）在进行测试和验收过程中发现的问题已被解决并得到采购人的认可；</w:t>
      </w:r>
    </w:p>
    <w:p>
      <w:pPr>
        <w:spacing w:line="420" w:lineRule="atLeast"/>
        <w:ind w:firstLine="480" w:firstLineChars="200"/>
        <w:rPr>
          <w:sz w:val="24"/>
        </w:rPr>
      </w:pPr>
      <w:r>
        <w:rPr>
          <w:rFonts w:hint="eastAsia"/>
          <w:sz w:val="24"/>
        </w:rPr>
        <w:t>（</w:t>
      </w:r>
      <w:r>
        <w:rPr>
          <w:sz w:val="24"/>
        </w:rPr>
        <w:t>3</w:t>
      </w:r>
      <w:r>
        <w:rPr>
          <w:rFonts w:hint="eastAsia"/>
          <w:sz w:val="24"/>
        </w:rPr>
        <w:t>）合同中规定的所有货物和材料均已交付；</w:t>
      </w:r>
    </w:p>
    <w:p>
      <w:pPr>
        <w:spacing w:line="420" w:lineRule="atLeast"/>
        <w:ind w:firstLine="480" w:firstLineChars="200"/>
        <w:rPr>
          <w:sz w:val="24"/>
        </w:rPr>
      </w:pPr>
      <w:r>
        <w:rPr>
          <w:rFonts w:hint="eastAsia"/>
          <w:sz w:val="24"/>
        </w:rPr>
        <w:t>（</w:t>
      </w:r>
      <w:r>
        <w:rPr>
          <w:sz w:val="24"/>
        </w:rPr>
        <w:t>4</w:t>
      </w:r>
      <w:r>
        <w:rPr>
          <w:rFonts w:hint="eastAsia"/>
          <w:sz w:val="24"/>
        </w:rPr>
        <w:t>）所供货物已通过使用单位组织的验收；</w:t>
      </w:r>
    </w:p>
    <w:p>
      <w:pPr>
        <w:spacing w:line="420" w:lineRule="atLeast"/>
        <w:ind w:firstLine="480" w:firstLineChars="200"/>
        <w:rPr>
          <w:sz w:val="24"/>
        </w:rPr>
      </w:pPr>
      <w:r>
        <w:rPr>
          <w:rFonts w:hint="eastAsia"/>
          <w:sz w:val="24"/>
        </w:rPr>
        <w:t>（</w:t>
      </w:r>
      <w:r>
        <w:rPr>
          <w:sz w:val="24"/>
        </w:rPr>
        <w:t>5</w:t>
      </w:r>
      <w:r>
        <w:rPr>
          <w:rFonts w:hint="eastAsia"/>
          <w:sz w:val="24"/>
        </w:rPr>
        <w:t>）所有相关的技术文件及资料均已提交并得到接受。</w:t>
      </w:r>
    </w:p>
    <w:p>
      <w:pPr>
        <w:spacing w:before="100" w:after="100"/>
        <w:jc w:val="center"/>
        <w:rPr>
          <w:rFonts w:ascii="宋体" w:hAnsi="宋体"/>
          <w:b/>
          <w:bCs/>
          <w:sz w:val="28"/>
          <w:szCs w:val="28"/>
        </w:rPr>
      </w:pPr>
      <w:r>
        <w:rPr>
          <w:rFonts w:hint="eastAsia" w:ascii="宋体" w:hAnsi="宋体"/>
          <w:b/>
          <w:bCs/>
          <w:sz w:val="28"/>
          <w:szCs w:val="28"/>
        </w:rPr>
        <w:t>第二章 采购项目商务要求</w:t>
      </w:r>
    </w:p>
    <w:p>
      <w:pPr>
        <w:spacing w:before="100" w:after="100"/>
        <w:ind w:firstLine="482" w:firstLineChars="200"/>
        <w:rPr>
          <w:rFonts w:ascii="宋体" w:hAnsi="宋体" w:cs="宋体"/>
          <w:b/>
          <w:sz w:val="24"/>
        </w:rPr>
      </w:pPr>
      <w:r>
        <w:rPr>
          <w:rFonts w:hint="eastAsia" w:ascii="宋体" w:hAnsi="宋体" w:cs="宋体"/>
          <w:b/>
          <w:sz w:val="24"/>
        </w:rPr>
        <w:t>一、 报价要求：</w:t>
      </w:r>
    </w:p>
    <w:p>
      <w:pPr>
        <w:spacing w:before="100" w:after="100"/>
        <w:ind w:firstLine="480" w:firstLineChars="200"/>
        <w:rPr>
          <w:rFonts w:ascii="宋体" w:hAnsi="宋体" w:cs="宋体"/>
          <w:sz w:val="24"/>
        </w:rPr>
      </w:pPr>
      <w:r>
        <w:rPr>
          <w:rFonts w:hint="eastAsia" w:ascii="宋体" w:hAnsi="宋体" w:cs="宋体"/>
          <w:sz w:val="24"/>
        </w:rPr>
        <w:t>1、报价应注明各产品品牌、规格、型号、参数、数量等。</w:t>
      </w:r>
    </w:p>
    <w:p>
      <w:pPr>
        <w:spacing w:before="100" w:after="100"/>
        <w:ind w:firstLine="480" w:firstLineChars="200"/>
        <w:rPr>
          <w:rFonts w:ascii="宋体" w:hAnsi="宋体" w:cs="宋体"/>
          <w:sz w:val="24"/>
        </w:rPr>
      </w:pPr>
      <w:r>
        <w:rPr>
          <w:rFonts w:hint="eastAsia" w:ascii="宋体" w:hAnsi="宋体" w:cs="宋体"/>
          <w:sz w:val="24"/>
        </w:rPr>
        <w:t>2、提供以本标书清单为基准的项目报价；一个标的只允许一个报价，不接受任何有选择性</w:t>
      </w:r>
      <w:r>
        <w:rPr>
          <w:rFonts w:hint="eastAsia" w:ascii="宋体" w:hAnsi="宋体" w:cs="宋体"/>
          <w:sz w:val="24"/>
          <w:lang w:eastAsia="zh-CN"/>
        </w:rPr>
        <w:t>的</w:t>
      </w:r>
      <w:r>
        <w:rPr>
          <w:rFonts w:hint="eastAsia" w:ascii="宋体" w:hAnsi="宋体" w:cs="宋体"/>
          <w:sz w:val="24"/>
        </w:rPr>
        <w:t>报价。</w:t>
      </w:r>
    </w:p>
    <w:p>
      <w:pPr>
        <w:spacing w:before="100" w:after="100"/>
        <w:ind w:firstLine="480" w:firstLineChars="200"/>
        <w:rPr>
          <w:rFonts w:ascii="宋体" w:hAnsi="宋体" w:cs="宋体"/>
          <w:sz w:val="24"/>
        </w:rPr>
      </w:pPr>
      <w:r>
        <w:rPr>
          <w:rFonts w:hint="eastAsia" w:ascii="宋体" w:hAnsi="宋体" w:cs="宋体"/>
          <w:sz w:val="24"/>
        </w:rPr>
        <w:t>3、报价方式为国内指定地点交货价，并以人民币为报价货币，报价中必须包含设备的购置费用、运输费用、售后服务费用以及各种税务费用（提供增值税专用发票）。</w:t>
      </w:r>
    </w:p>
    <w:p>
      <w:pPr>
        <w:spacing w:before="100" w:after="100"/>
        <w:ind w:firstLine="480" w:firstLineChars="200"/>
        <w:rPr>
          <w:rFonts w:ascii="宋体" w:hAnsi="宋体" w:cs="宋体"/>
          <w:b/>
          <w:bCs/>
          <w:sz w:val="24"/>
        </w:rPr>
      </w:pPr>
      <w:r>
        <w:rPr>
          <w:rFonts w:hint="eastAsia" w:ascii="宋体" w:hAnsi="宋体" w:cs="宋体"/>
          <w:sz w:val="24"/>
        </w:rPr>
        <w:t>4、投标人所提供的产品、服务均需要明确价格，如未标明价格或已标明单项价格而未计入总价，则投标人默认该项目为免费提供。</w:t>
      </w:r>
    </w:p>
    <w:p>
      <w:pPr>
        <w:spacing w:before="100" w:after="100"/>
        <w:ind w:firstLine="482" w:firstLineChars="200"/>
        <w:rPr>
          <w:rFonts w:ascii="宋体" w:hAnsi="宋体" w:cs="宋体"/>
          <w:b/>
          <w:bCs/>
          <w:sz w:val="24"/>
        </w:rPr>
      </w:pPr>
      <w:r>
        <w:rPr>
          <w:rFonts w:hint="eastAsia" w:ascii="宋体" w:hAnsi="宋体" w:cs="宋体"/>
          <w:b/>
          <w:bCs/>
          <w:sz w:val="24"/>
        </w:rPr>
        <w:t>二、 其他相关说明：</w:t>
      </w:r>
    </w:p>
    <w:p>
      <w:pPr>
        <w:spacing w:before="100" w:after="100"/>
        <w:ind w:firstLine="480" w:firstLineChars="200"/>
        <w:rPr>
          <w:rFonts w:ascii="宋体" w:hAnsi="宋体" w:cs="宋体"/>
          <w:sz w:val="24"/>
        </w:rPr>
      </w:pPr>
      <w:r>
        <w:rPr>
          <w:rFonts w:hint="eastAsia" w:ascii="宋体" w:hAnsi="宋体" w:cs="宋体"/>
          <w:sz w:val="24"/>
        </w:rPr>
        <w:t>1、投标人一旦参加投标</w:t>
      </w:r>
      <w:r>
        <w:rPr>
          <w:rFonts w:hint="eastAsia" w:ascii="宋体" w:hAnsi="宋体" w:cs="宋体"/>
          <w:sz w:val="24"/>
          <w:lang w:eastAsia="zh-CN"/>
        </w:rPr>
        <w:t>，</w:t>
      </w:r>
      <w:r>
        <w:rPr>
          <w:rFonts w:hint="eastAsia" w:ascii="宋体" w:hAnsi="宋体" w:cs="宋体"/>
          <w:sz w:val="24"/>
        </w:rPr>
        <w:t>就意味着已接受招标文件的所有条款及要求</w:t>
      </w:r>
      <w:r>
        <w:rPr>
          <w:rFonts w:hint="eastAsia" w:ascii="宋体" w:hAnsi="宋体" w:cs="宋体"/>
          <w:sz w:val="24"/>
          <w:lang w:eastAsia="zh-CN"/>
        </w:rPr>
        <w:t>，</w:t>
      </w:r>
      <w:r>
        <w:rPr>
          <w:rFonts w:hint="eastAsia" w:ascii="宋体" w:hAnsi="宋体" w:cs="宋体"/>
          <w:sz w:val="24"/>
        </w:rPr>
        <w:t>并受其约束。无论投标结果如何，投标人自行承担与投标响应有关的全部费用。</w:t>
      </w:r>
    </w:p>
    <w:p>
      <w:pPr>
        <w:spacing w:before="100" w:after="100"/>
        <w:ind w:firstLine="480" w:firstLineChars="200"/>
        <w:rPr>
          <w:rFonts w:ascii="宋体" w:hAnsi="宋体" w:cs="宋体"/>
          <w:sz w:val="24"/>
        </w:rPr>
      </w:pPr>
      <w:r>
        <w:rPr>
          <w:rFonts w:hint="eastAsia" w:ascii="宋体" w:hAnsi="宋体" w:cs="宋体"/>
          <w:sz w:val="24"/>
        </w:rPr>
        <w:t>2、</w:t>
      </w:r>
      <w:r>
        <w:rPr>
          <w:rFonts w:hint="eastAsia" w:ascii="宋体" w:hAnsi="宋体"/>
          <w:sz w:val="24"/>
        </w:rPr>
        <w:t>产品必须是全新、未使用过的原装合格正品，完全符合采购文件规定的质量、规格和性能的要求，达到国家或行业规定的标准，实行生产许可证制度的，应提供生产许可证；属于国家强制认证的产品，必须通过认证。</w:t>
      </w:r>
    </w:p>
    <w:p>
      <w:pPr>
        <w:spacing w:before="100" w:after="100"/>
        <w:ind w:firstLine="480" w:firstLineChars="200"/>
        <w:rPr>
          <w:rFonts w:ascii="宋体" w:hAnsi="宋体" w:cs="宋体"/>
          <w:sz w:val="24"/>
        </w:rPr>
      </w:pPr>
      <w:r>
        <w:rPr>
          <w:rFonts w:ascii="宋体" w:hAnsi="宋体" w:cs="宋体"/>
          <w:sz w:val="24"/>
        </w:rPr>
        <w:t>3</w:t>
      </w:r>
      <w:r>
        <w:rPr>
          <w:rFonts w:hint="eastAsia" w:ascii="宋体" w:hAnsi="宋体" w:cs="宋体"/>
          <w:sz w:val="24"/>
        </w:rPr>
        <w:t>、为确保产品的质量及供货时间，中标人须根据要求提供针对本次采购项目的供货证明、相应年限的原厂商质保承诺函。否则将不予通过项目验收。</w:t>
      </w:r>
    </w:p>
    <w:p>
      <w:pPr>
        <w:spacing w:before="100" w:after="100"/>
        <w:ind w:firstLine="480" w:firstLineChars="200"/>
        <w:rPr>
          <w:rFonts w:ascii="宋体" w:hAnsi="宋体" w:cs="宋体"/>
          <w:sz w:val="24"/>
        </w:rPr>
      </w:pPr>
      <w:r>
        <w:rPr>
          <w:rFonts w:ascii="宋体" w:hAnsi="宋体" w:cs="宋体"/>
          <w:sz w:val="24"/>
        </w:rPr>
        <w:t>4</w:t>
      </w:r>
      <w:r>
        <w:rPr>
          <w:rFonts w:hint="eastAsia" w:ascii="宋体" w:hAnsi="宋体" w:cs="宋体"/>
          <w:sz w:val="24"/>
        </w:rPr>
        <w:t>、中标供应商相关人员在进入学校及安装现场后，应遵守国家相关法律法规和学校管理规定，做好安全防护措施，注意安全文明施工，施工范围内的一切安全责任由中标供应商负责承担。</w:t>
      </w:r>
    </w:p>
    <w:p>
      <w:pPr>
        <w:spacing w:before="100" w:after="100"/>
        <w:ind w:firstLine="480" w:firstLineChars="200"/>
        <w:rPr>
          <w:rFonts w:ascii="宋体" w:hAnsi="宋体" w:cs="宋体"/>
          <w:sz w:val="24"/>
        </w:rPr>
      </w:pPr>
      <w:r>
        <w:rPr>
          <w:rFonts w:ascii="宋体" w:hAnsi="宋体" w:cs="宋体"/>
          <w:sz w:val="24"/>
        </w:rPr>
        <w:t>5</w:t>
      </w:r>
      <w:r>
        <w:rPr>
          <w:rFonts w:hint="eastAsia" w:ascii="宋体" w:hAnsi="宋体" w:cs="宋体"/>
          <w:sz w:val="24"/>
        </w:rPr>
        <w:t>、中标人提供的产品及服务不满足招标文件要求导致验收不合格的</w:t>
      </w:r>
      <w:r>
        <w:rPr>
          <w:rFonts w:hint="eastAsia" w:ascii="宋体" w:hAnsi="宋体" w:cs="宋体"/>
          <w:sz w:val="24"/>
          <w:lang w:eastAsia="zh-CN"/>
        </w:rPr>
        <w:t>，</w:t>
      </w:r>
      <w:r>
        <w:rPr>
          <w:rFonts w:hint="eastAsia" w:ascii="宋体" w:hAnsi="宋体" w:cs="宋体"/>
          <w:sz w:val="24"/>
        </w:rPr>
        <w:t>采购人有权解除合同并追究中标人的法律责任。</w:t>
      </w:r>
    </w:p>
    <w:p>
      <w:pPr>
        <w:spacing w:before="100" w:after="100"/>
        <w:ind w:firstLine="480" w:firstLineChars="200"/>
        <w:rPr>
          <w:rFonts w:ascii="宋体" w:hAnsi="宋体" w:cs="宋体"/>
          <w:sz w:val="24"/>
        </w:rPr>
      </w:pPr>
      <w:r>
        <w:rPr>
          <w:rFonts w:ascii="宋体" w:hAnsi="宋体" w:cs="宋体"/>
          <w:sz w:val="24"/>
        </w:rPr>
        <w:t>6</w:t>
      </w:r>
      <w:r>
        <w:rPr>
          <w:rFonts w:hint="eastAsia" w:ascii="宋体" w:hAnsi="宋体" w:cs="宋体"/>
          <w:sz w:val="24"/>
        </w:rPr>
        <w:t>、投标人根据招标人的需求、现场勘察的情况</w:t>
      </w:r>
      <w:r>
        <w:rPr>
          <w:rFonts w:hint="eastAsia" w:ascii="宋体" w:hAnsi="宋体" w:cs="宋体"/>
          <w:sz w:val="24"/>
          <w:lang w:eastAsia="zh-CN"/>
        </w:rPr>
        <w:t>，</w:t>
      </w:r>
      <w:r>
        <w:rPr>
          <w:rFonts w:hint="eastAsia" w:ascii="宋体" w:hAnsi="宋体" w:cs="宋体"/>
          <w:sz w:val="24"/>
        </w:rPr>
        <w:t>设计项目实施方案</w:t>
      </w:r>
      <w:r>
        <w:rPr>
          <w:rFonts w:hint="eastAsia" w:ascii="宋体" w:hAnsi="宋体" w:cs="宋体"/>
          <w:sz w:val="24"/>
          <w:lang w:eastAsia="zh-CN"/>
        </w:rPr>
        <w:t>，</w:t>
      </w:r>
      <w:r>
        <w:rPr>
          <w:rFonts w:hint="eastAsia" w:ascii="宋体" w:hAnsi="宋体" w:cs="宋体"/>
          <w:sz w:val="24"/>
        </w:rPr>
        <w:t>编制相关图纸</w:t>
      </w:r>
      <w:r>
        <w:rPr>
          <w:rFonts w:hint="eastAsia" w:ascii="宋体" w:hAnsi="宋体" w:cs="宋体"/>
          <w:sz w:val="24"/>
          <w:lang w:eastAsia="zh-CN"/>
        </w:rPr>
        <w:t>（</w:t>
      </w:r>
      <w:r>
        <w:rPr>
          <w:rFonts w:hint="eastAsia" w:ascii="宋体" w:hAnsi="宋体" w:cs="宋体"/>
          <w:sz w:val="24"/>
        </w:rPr>
        <w:t>包括但不限于平面布置图、管路平面布置图、管路系统图、综合布线图、系统控制柜内部系统图、废气处理原理图、设备基础施工图、主要设备大样图等）。</w:t>
      </w:r>
    </w:p>
    <w:p>
      <w:pPr>
        <w:spacing w:before="100" w:after="100"/>
        <w:ind w:firstLine="480" w:firstLineChars="200"/>
        <w:rPr>
          <w:rFonts w:ascii="宋体" w:hAnsi="宋体" w:cs="宋体"/>
          <w:sz w:val="24"/>
        </w:rPr>
      </w:pPr>
      <w:r>
        <w:rPr>
          <w:rFonts w:ascii="宋体" w:hAnsi="宋体" w:cs="宋体"/>
          <w:sz w:val="24"/>
        </w:rPr>
        <w:br w:type="page"/>
      </w:r>
    </w:p>
    <w:p>
      <w:pPr>
        <w:spacing w:before="100" w:after="100"/>
        <w:jc w:val="center"/>
        <w:rPr>
          <w:rFonts w:ascii="宋体" w:hAnsi="宋体"/>
          <w:b/>
          <w:bCs/>
          <w:sz w:val="28"/>
          <w:szCs w:val="28"/>
        </w:rPr>
      </w:pPr>
      <w:r>
        <w:rPr>
          <w:rFonts w:hint="eastAsia" w:ascii="宋体" w:hAnsi="宋体"/>
          <w:b/>
          <w:bCs/>
          <w:sz w:val="28"/>
          <w:szCs w:val="28"/>
        </w:rPr>
        <w:t>第三章 采购技术规格及要求</w:t>
      </w:r>
    </w:p>
    <w:p>
      <w:pPr>
        <w:snapToGrid w:val="0"/>
        <w:spacing w:line="360" w:lineRule="exact"/>
        <w:rPr>
          <w:rFonts w:ascii="宋体" w:hAnsi="宋体" w:cs="Arial"/>
          <w:b/>
          <w:color w:val="000000"/>
          <w:szCs w:val="21"/>
        </w:rPr>
      </w:pPr>
      <w:r>
        <w:rPr>
          <w:rFonts w:hint="eastAsia" w:ascii="宋体" w:hAnsi="宋体" w:cs="Arial"/>
          <w:b/>
          <w:color w:val="000000"/>
        </w:rPr>
        <w:t>一、货物需求一览表：</w:t>
      </w:r>
    </w:p>
    <w:tbl>
      <w:tblPr>
        <w:tblStyle w:val="13"/>
        <w:tblW w:w="9827" w:type="dxa"/>
        <w:jc w:val="center"/>
        <w:tblLayout w:type="fixed"/>
        <w:tblCellMar>
          <w:top w:w="0" w:type="dxa"/>
          <w:left w:w="108" w:type="dxa"/>
          <w:bottom w:w="0" w:type="dxa"/>
          <w:right w:w="108" w:type="dxa"/>
        </w:tblCellMar>
      </w:tblPr>
      <w:tblGrid>
        <w:gridCol w:w="688"/>
        <w:gridCol w:w="1776"/>
        <w:gridCol w:w="634"/>
        <w:gridCol w:w="674"/>
        <w:gridCol w:w="6055"/>
      </w:tblGrid>
      <w:tr>
        <w:tblPrEx>
          <w:tblCellMar>
            <w:top w:w="0" w:type="dxa"/>
            <w:left w:w="108" w:type="dxa"/>
            <w:bottom w:w="0" w:type="dxa"/>
            <w:right w:w="108" w:type="dxa"/>
          </w:tblCellMar>
        </w:tblPrEx>
        <w:trPr>
          <w:trHeight w:val="402" w:hRule="atLeast"/>
          <w:jc w:val="center"/>
        </w:trPr>
        <w:tc>
          <w:tcPr>
            <w:tcW w:w="6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等线"/>
                <w:b/>
                <w:bCs/>
                <w:color w:val="000000"/>
                <w:sz w:val="20"/>
                <w:szCs w:val="20"/>
              </w:rPr>
            </w:pPr>
            <w:r>
              <w:rPr>
                <w:rFonts w:hint="eastAsia" w:ascii="宋体" w:hAnsi="宋体"/>
                <w:b/>
                <w:bCs/>
                <w:color w:val="000000"/>
                <w:kern w:val="0"/>
                <w:sz w:val="20"/>
                <w:szCs w:val="20"/>
              </w:rPr>
              <w:t>序号</w:t>
            </w:r>
          </w:p>
        </w:tc>
        <w:tc>
          <w:tcPr>
            <w:tcW w:w="17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b/>
                <w:bCs/>
                <w:color w:val="000000"/>
                <w:sz w:val="20"/>
                <w:szCs w:val="20"/>
              </w:rPr>
            </w:pPr>
            <w:r>
              <w:rPr>
                <w:rFonts w:hint="eastAsia" w:ascii="宋体" w:hAnsi="宋体"/>
                <w:b/>
                <w:bCs/>
                <w:color w:val="000000"/>
                <w:kern w:val="0"/>
                <w:sz w:val="20"/>
                <w:szCs w:val="20"/>
              </w:rPr>
              <w:t>设备名称</w:t>
            </w:r>
          </w:p>
        </w:tc>
        <w:tc>
          <w:tcPr>
            <w:tcW w:w="63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b/>
                <w:bCs/>
                <w:color w:val="000000"/>
                <w:sz w:val="20"/>
                <w:szCs w:val="20"/>
              </w:rPr>
            </w:pPr>
            <w:r>
              <w:rPr>
                <w:rFonts w:hint="eastAsia" w:ascii="宋体" w:hAnsi="宋体"/>
                <w:b/>
                <w:bCs/>
                <w:color w:val="000000"/>
                <w:kern w:val="0"/>
                <w:sz w:val="20"/>
                <w:szCs w:val="20"/>
              </w:rPr>
              <w:t>单位</w:t>
            </w:r>
          </w:p>
        </w:tc>
        <w:tc>
          <w:tcPr>
            <w:tcW w:w="67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b/>
                <w:bCs/>
                <w:color w:val="000000"/>
                <w:sz w:val="20"/>
                <w:szCs w:val="20"/>
              </w:rPr>
            </w:pPr>
            <w:r>
              <w:rPr>
                <w:rFonts w:hint="eastAsia" w:ascii="宋体" w:hAnsi="宋体"/>
                <w:b/>
                <w:bCs/>
                <w:color w:val="000000"/>
                <w:kern w:val="0"/>
                <w:sz w:val="20"/>
                <w:szCs w:val="20"/>
              </w:rPr>
              <w:t>数量</w:t>
            </w:r>
          </w:p>
        </w:tc>
        <w:tc>
          <w:tcPr>
            <w:tcW w:w="60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b/>
                <w:bCs/>
                <w:color w:val="000000"/>
                <w:sz w:val="20"/>
                <w:szCs w:val="20"/>
              </w:rPr>
            </w:pPr>
            <w:r>
              <w:rPr>
                <w:rFonts w:hint="eastAsia" w:ascii="宋体" w:hAnsi="宋体"/>
                <w:b/>
                <w:bCs/>
                <w:color w:val="000000"/>
                <w:kern w:val="0"/>
                <w:sz w:val="20"/>
                <w:szCs w:val="20"/>
              </w:rPr>
              <w:t>功能目标及技术指标</w:t>
            </w:r>
          </w:p>
        </w:tc>
      </w:tr>
      <w:tr>
        <w:tblPrEx>
          <w:tblCellMar>
            <w:top w:w="0" w:type="dxa"/>
            <w:left w:w="108" w:type="dxa"/>
            <w:bottom w:w="0" w:type="dxa"/>
            <w:right w:w="108" w:type="dxa"/>
          </w:tblCellMar>
        </w:tblPrEx>
        <w:trPr>
          <w:trHeight w:val="693" w:hRule="atLeast"/>
          <w:jc w:val="center"/>
        </w:trPr>
        <w:tc>
          <w:tcPr>
            <w:tcW w:w="6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w:t>
            </w:r>
          </w:p>
        </w:tc>
        <w:tc>
          <w:tcPr>
            <w:tcW w:w="17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设备基础</w:t>
            </w:r>
            <w:r>
              <w:rPr>
                <w:rFonts w:hint="eastAsia" w:ascii="宋体" w:hAnsi="宋体"/>
                <w:color w:val="000000"/>
                <w:kern w:val="0"/>
                <w:sz w:val="20"/>
                <w:szCs w:val="20"/>
                <w:lang w:eastAsia="zh-CN"/>
              </w:rPr>
              <w:t>（</w:t>
            </w:r>
            <w:r>
              <w:rPr>
                <w:rFonts w:hint="eastAsia" w:ascii="宋体" w:hAnsi="宋体"/>
                <w:color w:val="000000"/>
                <w:kern w:val="0"/>
                <w:sz w:val="20"/>
                <w:szCs w:val="20"/>
              </w:rPr>
              <w:t>热镀锌工字钢</w:t>
            </w:r>
            <w:r>
              <w:rPr>
                <w:rFonts w:hint="eastAsia" w:ascii="宋体" w:hAnsi="宋体"/>
                <w:color w:val="000000"/>
                <w:kern w:val="0"/>
                <w:sz w:val="20"/>
                <w:szCs w:val="20"/>
                <w:lang w:eastAsia="zh-CN"/>
              </w:rPr>
              <w:t>）</w:t>
            </w:r>
          </w:p>
        </w:tc>
        <w:tc>
          <w:tcPr>
            <w:tcW w:w="63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m</w:t>
            </w:r>
          </w:p>
        </w:tc>
        <w:tc>
          <w:tcPr>
            <w:tcW w:w="67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300</w:t>
            </w:r>
          </w:p>
        </w:tc>
        <w:tc>
          <w:tcPr>
            <w:tcW w:w="6055"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混凝土翻梁基础</w:t>
            </w:r>
            <w:r>
              <w:rPr>
                <w:rFonts w:hint="eastAsia" w:ascii="宋体" w:hAnsi="宋体"/>
                <w:color w:val="000000"/>
                <w:kern w:val="0"/>
                <w:sz w:val="20"/>
                <w:szCs w:val="20"/>
                <w:lang w:eastAsia="zh-CN"/>
              </w:rPr>
              <w:t>，</w:t>
            </w:r>
            <w:r>
              <w:rPr>
                <w:rFonts w:hint="eastAsia" w:ascii="宋体" w:hAnsi="宋体"/>
                <w:color w:val="000000"/>
                <w:kern w:val="0"/>
                <w:sz w:val="20"/>
                <w:szCs w:val="20"/>
              </w:rPr>
              <w:t>采用热镀锌工字钢型号为Q235(180*94mm)</w:t>
            </w:r>
            <w:r>
              <w:rPr>
                <w:rFonts w:hint="eastAsia" w:ascii="宋体" w:hAnsi="宋体"/>
                <w:color w:val="000000"/>
                <w:kern w:val="0"/>
                <w:sz w:val="20"/>
                <w:szCs w:val="20"/>
                <w:lang w:eastAsia="zh-CN"/>
              </w:rPr>
              <w:t>，</w:t>
            </w:r>
            <w:r>
              <w:rPr>
                <w:rFonts w:hint="eastAsia" w:ascii="宋体" w:hAnsi="宋体"/>
                <w:color w:val="000000"/>
                <w:kern w:val="0"/>
                <w:sz w:val="20"/>
                <w:szCs w:val="20"/>
              </w:rPr>
              <w:t>在热镀锌工字钢表层先刷防腐漆</w:t>
            </w:r>
            <w:r>
              <w:rPr>
                <w:rFonts w:hint="eastAsia" w:ascii="宋体" w:hAnsi="宋体"/>
                <w:color w:val="000000"/>
                <w:kern w:val="0"/>
                <w:sz w:val="20"/>
                <w:szCs w:val="20"/>
                <w:lang w:eastAsia="zh-CN"/>
              </w:rPr>
              <w:t>，</w:t>
            </w:r>
            <w:r>
              <w:rPr>
                <w:rFonts w:hint="eastAsia" w:ascii="宋体" w:hAnsi="宋体"/>
                <w:color w:val="000000"/>
                <w:kern w:val="0"/>
                <w:sz w:val="20"/>
                <w:szCs w:val="20"/>
              </w:rPr>
              <w:t>后刷灰色面漆</w:t>
            </w:r>
            <w:r>
              <w:rPr>
                <w:rFonts w:hint="eastAsia" w:ascii="宋体" w:hAnsi="宋体"/>
                <w:color w:val="000000"/>
                <w:kern w:val="0"/>
                <w:sz w:val="20"/>
                <w:szCs w:val="20"/>
                <w:lang w:eastAsia="zh-CN"/>
              </w:rPr>
              <w:t>，</w:t>
            </w:r>
            <w:r>
              <w:rPr>
                <w:rFonts w:hint="eastAsia" w:ascii="宋体" w:hAnsi="宋体"/>
                <w:color w:val="000000"/>
                <w:kern w:val="0"/>
                <w:sz w:val="20"/>
                <w:szCs w:val="20"/>
              </w:rPr>
              <w:t>经过两层油漆涂刷后</w:t>
            </w:r>
            <w:r>
              <w:rPr>
                <w:rFonts w:hint="eastAsia" w:ascii="宋体" w:hAnsi="宋体"/>
                <w:color w:val="000000"/>
                <w:kern w:val="0"/>
                <w:sz w:val="20"/>
                <w:szCs w:val="20"/>
                <w:lang w:eastAsia="zh-CN"/>
              </w:rPr>
              <w:t>，</w:t>
            </w:r>
            <w:r>
              <w:rPr>
                <w:rFonts w:hint="eastAsia" w:ascii="宋体" w:hAnsi="宋体"/>
                <w:color w:val="000000"/>
                <w:kern w:val="0"/>
                <w:sz w:val="20"/>
                <w:szCs w:val="20"/>
              </w:rPr>
              <w:t>待油漆晒干后</w:t>
            </w:r>
            <w:r>
              <w:rPr>
                <w:rFonts w:hint="eastAsia" w:ascii="宋体" w:hAnsi="宋体"/>
                <w:color w:val="000000"/>
                <w:kern w:val="0"/>
                <w:sz w:val="20"/>
                <w:szCs w:val="20"/>
                <w:lang w:eastAsia="zh-CN"/>
              </w:rPr>
              <w:t>，</w:t>
            </w:r>
            <w:r>
              <w:rPr>
                <w:rFonts w:hint="eastAsia" w:ascii="宋体" w:hAnsi="宋体"/>
                <w:color w:val="000000"/>
                <w:kern w:val="0"/>
                <w:sz w:val="20"/>
                <w:szCs w:val="20"/>
              </w:rPr>
              <w:t>将18号热镀锌工字钢与提前预埋好的预埋钢板焊接</w:t>
            </w:r>
            <w:r>
              <w:rPr>
                <w:rFonts w:hint="eastAsia" w:ascii="宋体" w:hAnsi="宋体"/>
                <w:color w:val="000000"/>
                <w:kern w:val="0"/>
                <w:sz w:val="20"/>
                <w:szCs w:val="20"/>
                <w:lang w:eastAsia="zh-CN"/>
              </w:rPr>
              <w:t>，</w:t>
            </w:r>
            <w:r>
              <w:rPr>
                <w:rFonts w:hint="eastAsia" w:ascii="宋体" w:hAnsi="宋体"/>
                <w:color w:val="000000"/>
                <w:kern w:val="0"/>
                <w:sz w:val="20"/>
                <w:szCs w:val="20"/>
              </w:rPr>
              <w:t>热镀锌工字钢两边焊接尺寸应超过预埋钢板中心位置</w:t>
            </w:r>
            <w:r>
              <w:rPr>
                <w:rFonts w:hint="eastAsia" w:ascii="宋体" w:hAnsi="宋体"/>
                <w:color w:val="000000"/>
                <w:kern w:val="0"/>
                <w:sz w:val="20"/>
                <w:szCs w:val="20"/>
                <w:lang w:eastAsia="zh-CN"/>
              </w:rPr>
              <w:t>，</w:t>
            </w:r>
            <w:r>
              <w:rPr>
                <w:rFonts w:hint="eastAsia" w:ascii="宋体" w:hAnsi="宋体"/>
                <w:color w:val="000000"/>
                <w:kern w:val="0"/>
                <w:sz w:val="20"/>
                <w:szCs w:val="20"/>
              </w:rPr>
              <w:t>热镀锌工字钢焊接部位先打磨除锈处理，表层涂装钢结构专用防腐防锈漆。包含材料吊装</w:t>
            </w:r>
          </w:p>
        </w:tc>
      </w:tr>
      <w:tr>
        <w:tblPrEx>
          <w:tblCellMar>
            <w:top w:w="0" w:type="dxa"/>
            <w:left w:w="108" w:type="dxa"/>
            <w:bottom w:w="0" w:type="dxa"/>
            <w:right w:w="108" w:type="dxa"/>
          </w:tblCellMar>
        </w:tblPrEx>
        <w:trPr>
          <w:trHeight w:val="626" w:hRule="atLeast"/>
          <w:jc w:val="center"/>
        </w:trPr>
        <w:tc>
          <w:tcPr>
            <w:tcW w:w="6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2</w:t>
            </w:r>
          </w:p>
        </w:tc>
        <w:tc>
          <w:tcPr>
            <w:tcW w:w="17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玻璃钢变频离心风机</w:t>
            </w:r>
          </w:p>
        </w:tc>
        <w:tc>
          <w:tcPr>
            <w:tcW w:w="63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个</w:t>
            </w:r>
          </w:p>
        </w:tc>
        <w:tc>
          <w:tcPr>
            <w:tcW w:w="67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4</w:t>
            </w:r>
          </w:p>
        </w:tc>
        <w:tc>
          <w:tcPr>
            <w:tcW w:w="6055"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0"/>
                <w:szCs w:val="20"/>
              </w:rPr>
            </w:pPr>
            <w:r>
              <w:rPr>
                <w:rStyle w:val="26"/>
                <w:rFonts w:hint="default"/>
              </w:rPr>
              <w:t>风量:20000m³/h</w:t>
            </w:r>
            <w:r>
              <w:rPr>
                <w:rStyle w:val="26"/>
                <w:rFonts w:hint="eastAsia"/>
                <w:lang w:eastAsia="zh-CN"/>
              </w:rPr>
              <w:t>，</w:t>
            </w:r>
            <w:r>
              <w:rPr>
                <w:rStyle w:val="26"/>
                <w:rFonts w:hint="default"/>
              </w:rPr>
              <w:t>风压:1600Pa</w:t>
            </w:r>
            <w:r>
              <w:rPr>
                <w:rStyle w:val="26"/>
                <w:rFonts w:hint="eastAsia"/>
                <w:lang w:eastAsia="zh-CN"/>
              </w:rPr>
              <w:t>，</w:t>
            </w:r>
            <w:r>
              <w:rPr>
                <w:rStyle w:val="26"/>
                <w:rFonts w:hint="default"/>
              </w:rPr>
              <w:t>强冷变频电机功率:18.5KW</w:t>
            </w:r>
            <w:r>
              <w:rPr>
                <w:rStyle w:val="26"/>
                <w:rFonts w:hint="eastAsia"/>
                <w:lang w:eastAsia="zh-CN"/>
              </w:rPr>
              <w:t>，</w:t>
            </w:r>
            <w:r>
              <w:rPr>
                <w:rStyle w:val="26"/>
                <w:rFonts w:hint="default"/>
              </w:rPr>
              <w:t>转速:1450rmp</w:t>
            </w:r>
            <w:r>
              <w:rPr>
                <w:rStyle w:val="26"/>
                <w:rFonts w:hint="eastAsia"/>
                <w:lang w:eastAsia="zh-CN"/>
              </w:rPr>
              <w:t>，</w:t>
            </w:r>
            <w:r>
              <w:rPr>
                <w:rStyle w:val="26"/>
                <w:rFonts w:hint="default"/>
              </w:rPr>
              <w:t>含进出口软接、弹簧避震器、底座、</w:t>
            </w:r>
            <w:r>
              <w:rPr>
                <w:rStyle w:val="26"/>
                <w:rFonts w:hint="eastAsia"/>
                <w:lang w:eastAsia="zh-CN"/>
              </w:rPr>
              <w:t>锥形</w:t>
            </w:r>
            <w:r>
              <w:rPr>
                <w:rStyle w:val="26"/>
                <w:rFonts w:hint="default"/>
              </w:rPr>
              <w:t>风帽及支架等</w:t>
            </w:r>
            <w:r>
              <w:rPr>
                <w:rStyle w:val="26"/>
                <w:rFonts w:hint="eastAsia"/>
                <w:lang w:eastAsia="zh-CN"/>
              </w:rPr>
              <w:t>，</w:t>
            </w:r>
            <w:r>
              <w:rPr>
                <w:rStyle w:val="26"/>
                <w:rFonts w:hint="default"/>
              </w:rPr>
              <w:t>包含设备吊装</w:t>
            </w:r>
          </w:p>
        </w:tc>
      </w:tr>
      <w:tr>
        <w:tblPrEx>
          <w:tblCellMar>
            <w:top w:w="0" w:type="dxa"/>
            <w:left w:w="108" w:type="dxa"/>
            <w:bottom w:w="0" w:type="dxa"/>
            <w:right w:w="108" w:type="dxa"/>
          </w:tblCellMar>
        </w:tblPrEx>
        <w:trPr>
          <w:trHeight w:val="644" w:hRule="atLeast"/>
          <w:jc w:val="center"/>
        </w:trPr>
        <w:tc>
          <w:tcPr>
            <w:tcW w:w="6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3</w:t>
            </w:r>
          </w:p>
        </w:tc>
        <w:tc>
          <w:tcPr>
            <w:tcW w:w="17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玻璃钢变频离心风机</w:t>
            </w:r>
          </w:p>
        </w:tc>
        <w:tc>
          <w:tcPr>
            <w:tcW w:w="63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个</w:t>
            </w:r>
          </w:p>
        </w:tc>
        <w:tc>
          <w:tcPr>
            <w:tcW w:w="67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8</w:t>
            </w:r>
          </w:p>
        </w:tc>
        <w:tc>
          <w:tcPr>
            <w:tcW w:w="6055"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风量:10000m³/h</w:t>
            </w:r>
            <w:r>
              <w:rPr>
                <w:rFonts w:hint="eastAsia" w:ascii="宋体" w:hAnsi="宋体"/>
                <w:color w:val="000000"/>
                <w:kern w:val="0"/>
                <w:sz w:val="20"/>
                <w:szCs w:val="20"/>
                <w:lang w:eastAsia="zh-CN"/>
              </w:rPr>
              <w:t>，</w:t>
            </w:r>
            <w:r>
              <w:rPr>
                <w:rFonts w:hint="eastAsia" w:ascii="宋体" w:hAnsi="宋体"/>
                <w:color w:val="000000"/>
                <w:kern w:val="0"/>
                <w:sz w:val="20"/>
                <w:szCs w:val="20"/>
              </w:rPr>
              <w:t>风压:1</w:t>
            </w:r>
            <w:r>
              <w:rPr>
                <w:rFonts w:ascii="宋体" w:hAnsi="宋体"/>
                <w:color w:val="000000"/>
                <w:kern w:val="0"/>
                <w:sz w:val="20"/>
                <w:szCs w:val="20"/>
              </w:rPr>
              <w:t>5</w:t>
            </w:r>
            <w:r>
              <w:rPr>
                <w:rFonts w:hint="eastAsia" w:ascii="宋体" w:hAnsi="宋体"/>
                <w:color w:val="000000"/>
                <w:kern w:val="0"/>
                <w:sz w:val="20"/>
                <w:szCs w:val="20"/>
              </w:rPr>
              <w:t>00Pa</w:t>
            </w:r>
            <w:r>
              <w:rPr>
                <w:rFonts w:hint="eastAsia" w:ascii="宋体" w:hAnsi="宋体"/>
                <w:color w:val="000000"/>
                <w:kern w:val="0"/>
                <w:sz w:val="20"/>
                <w:szCs w:val="20"/>
                <w:lang w:eastAsia="zh-CN"/>
              </w:rPr>
              <w:t>，</w:t>
            </w:r>
            <w:r>
              <w:rPr>
                <w:rFonts w:hint="eastAsia" w:ascii="宋体" w:hAnsi="宋体"/>
                <w:color w:val="000000"/>
                <w:kern w:val="0"/>
                <w:sz w:val="20"/>
                <w:szCs w:val="20"/>
              </w:rPr>
              <w:t>强冷变频电机功率:7.5KW</w:t>
            </w:r>
            <w:r>
              <w:rPr>
                <w:rFonts w:hint="eastAsia" w:ascii="宋体" w:hAnsi="宋体"/>
                <w:color w:val="000000"/>
                <w:kern w:val="0"/>
                <w:sz w:val="20"/>
                <w:szCs w:val="20"/>
                <w:lang w:eastAsia="zh-CN"/>
              </w:rPr>
              <w:t>，</w:t>
            </w:r>
            <w:r>
              <w:rPr>
                <w:rFonts w:hint="eastAsia" w:ascii="宋体" w:hAnsi="宋体"/>
                <w:color w:val="000000"/>
                <w:kern w:val="0"/>
                <w:sz w:val="20"/>
                <w:szCs w:val="20"/>
              </w:rPr>
              <w:t>转速:1450rmp</w:t>
            </w:r>
            <w:r>
              <w:rPr>
                <w:rFonts w:hint="eastAsia" w:ascii="宋体" w:hAnsi="宋体"/>
                <w:color w:val="000000"/>
                <w:kern w:val="0"/>
                <w:sz w:val="20"/>
                <w:szCs w:val="20"/>
                <w:lang w:eastAsia="zh-CN"/>
              </w:rPr>
              <w:t>，</w:t>
            </w:r>
            <w:r>
              <w:rPr>
                <w:rFonts w:hint="eastAsia" w:ascii="宋体" w:hAnsi="宋体"/>
                <w:color w:val="000000"/>
                <w:kern w:val="0"/>
                <w:sz w:val="20"/>
                <w:szCs w:val="20"/>
              </w:rPr>
              <w:t>含进出口软接、弹簧避震器、底座、</w:t>
            </w:r>
            <w:r>
              <w:rPr>
                <w:rFonts w:hint="eastAsia" w:ascii="宋体" w:hAnsi="宋体"/>
                <w:color w:val="000000"/>
                <w:kern w:val="0"/>
                <w:sz w:val="20"/>
                <w:szCs w:val="20"/>
                <w:lang w:eastAsia="zh-CN"/>
              </w:rPr>
              <w:t>锥形</w:t>
            </w:r>
            <w:r>
              <w:rPr>
                <w:rFonts w:hint="eastAsia" w:ascii="宋体" w:hAnsi="宋体"/>
                <w:color w:val="000000"/>
                <w:kern w:val="0"/>
                <w:sz w:val="20"/>
                <w:szCs w:val="20"/>
              </w:rPr>
              <w:t>风帽及支架等</w:t>
            </w:r>
            <w:r>
              <w:rPr>
                <w:rFonts w:hint="eastAsia" w:ascii="宋体" w:hAnsi="宋体"/>
                <w:color w:val="000000"/>
                <w:kern w:val="0"/>
                <w:sz w:val="20"/>
                <w:szCs w:val="20"/>
                <w:lang w:eastAsia="zh-CN"/>
              </w:rPr>
              <w:t>，</w:t>
            </w:r>
            <w:r>
              <w:rPr>
                <w:rFonts w:hint="eastAsia" w:ascii="宋体" w:hAnsi="宋体"/>
                <w:color w:val="000000"/>
                <w:kern w:val="0"/>
                <w:sz w:val="20"/>
                <w:szCs w:val="20"/>
              </w:rPr>
              <w:t>包含设备吊装</w:t>
            </w:r>
          </w:p>
        </w:tc>
      </w:tr>
      <w:tr>
        <w:tblPrEx>
          <w:tblCellMar>
            <w:top w:w="0" w:type="dxa"/>
            <w:left w:w="108" w:type="dxa"/>
            <w:bottom w:w="0" w:type="dxa"/>
            <w:right w:w="108" w:type="dxa"/>
          </w:tblCellMar>
        </w:tblPrEx>
        <w:trPr>
          <w:trHeight w:val="480" w:hRule="atLeast"/>
          <w:jc w:val="center"/>
        </w:trPr>
        <w:tc>
          <w:tcPr>
            <w:tcW w:w="6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4</w:t>
            </w:r>
          </w:p>
        </w:tc>
        <w:tc>
          <w:tcPr>
            <w:tcW w:w="17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消声器</w:t>
            </w:r>
          </w:p>
        </w:tc>
        <w:tc>
          <w:tcPr>
            <w:tcW w:w="63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个</w:t>
            </w:r>
          </w:p>
        </w:tc>
        <w:tc>
          <w:tcPr>
            <w:tcW w:w="67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12</w:t>
            </w:r>
          </w:p>
        </w:tc>
        <w:tc>
          <w:tcPr>
            <w:tcW w:w="6055"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外表面为6mm有机玻璃钢或8mmPP板材质制作</w:t>
            </w:r>
            <w:r>
              <w:rPr>
                <w:rFonts w:hint="eastAsia" w:ascii="宋体" w:hAnsi="宋体"/>
                <w:color w:val="000000"/>
                <w:kern w:val="0"/>
                <w:sz w:val="20"/>
                <w:szCs w:val="20"/>
                <w:lang w:eastAsia="zh-CN"/>
              </w:rPr>
              <w:t>，</w:t>
            </w:r>
            <w:r>
              <w:rPr>
                <w:rFonts w:hint="eastAsia" w:ascii="宋体" w:hAnsi="宋体"/>
                <w:color w:val="000000"/>
                <w:kern w:val="0"/>
                <w:sz w:val="20"/>
                <w:szCs w:val="20"/>
              </w:rPr>
              <w:t>内衬为PP微孔穿板制作</w:t>
            </w:r>
            <w:r>
              <w:rPr>
                <w:rFonts w:hint="eastAsia" w:ascii="宋体" w:hAnsi="宋体"/>
                <w:color w:val="000000"/>
                <w:kern w:val="0"/>
                <w:sz w:val="20"/>
                <w:szCs w:val="20"/>
                <w:lang w:eastAsia="zh-CN"/>
              </w:rPr>
              <w:t>，</w:t>
            </w:r>
            <w:r>
              <w:rPr>
                <w:rFonts w:hint="eastAsia" w:ascii="宋体" w:hAnsi="宋体"/>
                <w:color w:val="000000"/>
                <w:kern w:val="0"/>
                <w:sz w:val="20"/>
                <w:szCs w:val="20"/>
              </w:rPr>
              <w:t>中置消声棉</w:t>
            </w:r>
            <w:r>
              <w:rPr>
                <w:rFonts w:hint="eastAsia" w:ascii="宋体" w:hAnsi="宋体"/>
                <w:color w:val="000000"/>
                <w:kern w:val="0"/>
                <w:sz w:val="20"/>
                <w:szCs w:val="20"/>
                <w:lang w:eastAsia="zh-CN"/>
              </w:rPr>
              <w:t>，</w:t>
            </w:r>
            <w:r>
              <w:rPr>
                <w:rFonts w:hint="eastAsia" w:ascii="宋体" w:hAnsi="宋体"/>
                <w:color w:val="000000"/>
                <w:kern w:val="0"/>
                <w:sz w:val="20"/>
                <w:szCs w:val="20"/>
              </w:rPr>
              <w:t>尺寸与管道相匹配</w:t>
            </w:r>
          </w:p>
        </w:tc>
      </w:tr>
      <w:tr>
        <w:tblPrEx>
          <w:tblCellMar>
            <w:top w:w="0" w:type="dxa"/>
            <w:left w:w="108" w:type="dxa"/>
            <w:bottom w:w="0" w:type="dxa"/>
            <w:right w:w="108" w:type="dxa"/>
          </w:tblCellMar>
        </w:tblPrEx>
        <w:trPr>
          <w:trHeight w:val="270" w:hRule="atLeast"/>
          <w:jc w:val="center"/>
        </w:trPr>
        <w:tc>
          <w:tcPr>
            <w:tcW w:w="6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5</w:t>
            </w:r>
          </w:p>
        </w:tc>
        <w:tc>
          <w:tcPr>
            <w:tcW w:w="17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防火阀</w:t>
            </w:r>
          </w:p>
        </w:tc>
        <w:tc>
          <w:tcPr>
            <w:tcW w:w="63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个</w:t>
            </w:r>
          </w:p>
        </w:tc>
        <w:tc>
          <w:tcPr>
            <w:tcW w:w="67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24</w:t>
            </w:r>
          </w:p>
        </w:tc>
        <w:tc>
          <w:tcPr>
            <w:tcW w:w="6055"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钢制</w:t>
            </w:r>
            <w:r>
              <w:rPr>
                <w:rFonts w:hint="eastAsia" w:ascii="宋体" w:hAnsi="宋体"/>
                <w:color w:val="000000"/>
                <w:kern w:val="0"/>
                <w:sz w:val="20"/>
                <w:szCs w:val="20"/>
                <w:lang w:eastAsia="zh-CN"/>
              </w:rPr>
              <w:t>，</w:t>
            </w:r>
            <w:r>
              <w:rPr>
                <w:rFonts w:hint="eastAsia" w:ascii="宋体" w:hAnsi="宋体"/>
                <w:color w:val="000000"/>
                <w:kern w:val="0"/>
                <w:sz w:val="20"/>
                <w:szCs w:val="20"/>
              </w:rPr>
              <w:t>70℃常开</w:t>
            </w:r>
            <w:r>
              <w:rPr>
                <w:rFonts w:hint="eastAsia" w:ascii="宋体" w:hAnsi="宋体"/>
                <w:color w:val="000000"/>
                <w:kern w:val="0"/>
                <w:sz w:val="20"/>
                <w:szCs w:val="20"/>
                <w:lang w:eastAsia="zh-CN"/>
              </w:rPr>
              <w:t>，</w:t>
            </w:r>
            <w:r>
              <w:rPr>
                <w:rFonts w:hint="eastAsia" w:ascii="宋体" w:hAnsi="宋体"/>
                <w:color w:val="000000"/>
                <w:kern w:val="0"/>
                <w:sz w:val="20"/>
                <w:szCs w:val="20"/>
              </w:rPr>
              <w:t>与管道相匹配</w:t>
            </w:r>
          </w:p>
        </w:tc>
      </w:tr>
      <w:tr>
        <w:tblPrEx>
          <w:tblCellMar>
            <w:top w:w="0" w:type="dxa"/>
            <w:left w:w="108" w:type="dxa"/>
            <w:bottom w:w="0" w:type="dxa"/>
            <w:right w:w="108" w:type="dxa"/>
          </w:tblCellMar>
        </w:tblPrEx>
        <w:trPr>
          <w:trHeight w:val="336" w:hRule="atLeast"/>
          <w:jc w:val="center"/>
        </w:trPr>
        <w:tc>
          <w:tcPr>
            <w:tcW w:w="6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6</w:t>
            </w:r>
          </w:p>
        </w:tc>
        <w:tc>
          <w:tcPr>
            <w:tcW w:w="17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PP风管</w:t>
            </w:r>
          </w:p>
        </w:tc>
        <w:tc>
          <w:tcPr>
            <w:tcW w:w="63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m²</w:t>
            </w:r>
          </w:p>
        </w:tc>
        <w:tc>
          <w:tcPr>
            <w:tcW w:w="67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1900</w:t>
            </w:r>
          </w:p>
        </w:tc>
        <w:tc>
          <w:tcPr>
            <w:tcW w:w="6055"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6</w:t>
            </w:r>
            <w:r>
              <w:rPr>
                <w:rFonts w:hint="eastAsia" w:ascii="宋体" w:hAnsi="宋体"/>
                <w:color w:val="000000"/>
                <w:kern w:val="0"/>
                <w:sz w:val="20"/>
                <w:szCs w:val="20"/>
                <w:lang w:eastAsia="zh-CN"/>
              </w:rPr>
              <w:t>—</w:t>
            </w:r>
            <w:r>
              <w:rPr>
                <w:rFonts w:hint="eastAsia" w:ascii="宋体" w:hAnsi="宋体"/>
                <w:color w:val="000000"/>
                <w:kern w:val="0"/>
                <w:sz w:val="20"/>
                <w:szCs w:val="20"/>
              </w:rPr>
              <w:t>8mm厚PP材质</w:t>
            </w:r>
            <w:r>
              <w:rPr>
                <w:rFonts w:hint="eastAsia" w:ascii="宋体" w:hAnsi="宋体"/>
                <w:color w:val="000000"/>
                <w:kern w:val="0"/>
                <w:sz w:val="20"/>
                <w:szCs w:val="20"/>
                <w:lang w:eastAsia="zh-CN"/>
              </w:rPr>
              <w:t>，</w:t>
            </w:r>
            <w:r>
              <w:rPr>
                <w:rFonts w:hint="eastAsia" w:ascii="宋体" w:hAnsi="宋体"/>
                <w:color w:val="000000"/>
                <w:kern w:val="0"/>
                <w:sz w:val="20"/>
                <w:szCs w:val="20"/>
              </w:rPr>
              <w:t>包含现场制作</w:t>
            </w:r>
            <w:r>
              <w:rPr>
                <w:rFonts w:hint="eastAsia" w:ascii="宋体" w:hAnsi="宋体"/>
                <w:color w:val="000000"/>
                <w:kern w:val="0"/>
                <w:sz w:val="20"/>
                <w:szCs w:val="20"/>
                <w:lang w:eastAsia="zh-CN"/>
              </w:rPr>
              <w:t>，</w:t>
            </w:r>
            <w:r>
              <w:rPr>
                <w:rFonts w:hint="eastAsia" w:ascii="宋体" w:hAnsi="宋体"/>
                <w:color w:val="000000"/>
                <w:kern w:val="0"/>
                <w:sz w:val="20"/>
                <w:szCs w:val="20"/>
              </w:rPr>
              <w:t>含弯头、三通、法兰、支架等</w:t>
            </w:r>
          </w:p>
        </w:tc>
      </w:tr>
      <w:tr>
        <w:tblPrEx>
          <w:tblCellMar>
            <w:top w:w="0" w:type="dxa"/>
            <w:left w:w="108" w:type="dxa"/>
            <w:bottom w:w="0" w:type="dxa"/>
            <w:right w:w="108" w:type="dxa"/>
          </w:tblCellMar>
        </w:tblPrEx>
        <w:trPr>
          <w:trHeight w:val="304" w:hRule="atLeast"/>
          <w:jc w:val="center"/>
        </w:trPr>
        <w:tc>
          <w:tcPr>
            <w:tcW w:w="6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7</w:t>
            </w:r>
          </w:p>
        </w:tc>
        <w:tc>
          <w:tcPr>
            <w:tcW w:w="17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系统电气控制柜</w:t>
            </w:r>
          </w:p>
        </w:tc>
        <w:tc>
          <w:tcPr>
            <w:tcW w:w="63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个</w:t>
            </w:r>
          </w:p>
        </w:tc>
        <w:tc>
          <w:tcPr>
            <w:tcW w:w="67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12</w:t>
            </w:r>
          </w:p>
        </w:tc>
        <w:tc>
          <w:tcPr>
            <w:tcW w:w="6055"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规格800*600*1500mm,304不锈钢材质</w:t>
            </w:r>
            <w:r>
              <w:rPr>
                <w:rFonts w:hint="eastAsia" w:ascii="宋体" w:hAnsi="宋体"/>
                <w:color w:val="000000"/>
                <w:kern w:val="0"/>
                <w:sz w:val="20"/>
                <w:szCs w:val="20"/>
                <w:lang w:eastAsia="zh-CN"/>
              </w:rPr>
              <w:t>，</w:t>
            </w:r>
            <w:r>
              <w:rPr>
                <w:rFonts w:hint="eastAsia" w:ascii="宋体" w:hAnsi="宋体"/>
                <w:color w:val="000000"/>
                <w:kern w:val="0"/>
                <w:sz w:val="20"/>
                <w:szCs w:val="20"/>
              </w:rPr>
              <w:t>室外柜</w:t>
            </w:r>
            <w:r>
              <w:rPr>
                <w:rFonts w:hint="eastAsia" w:ascii="宋体" w:hAnsi="宋体"/>
                <w:color w:val="000000"/>
                <w:kern w:val="0"/>
                <w:sz w:val="20"/>
                <w:szCs w:val="20"/>
                <w:lang w:eastAsia="zh-CN"/>
              </w:rPr>
              <w:t>，</w:t>
            </w:r>
            <w:r>
              <w:rPr>
                <w:rFonts w:hint="eastAsia" w:ascii="宋体" w:hAnsi="宋体"/>
                <w:color w:val="000000"/>
                <w:kern w:val="0"/>
                <w:sz w:val="20"/>
                <w:szCs w:val="20"/>
              </w:rPr>
              <w:t>含断路器、接触器、热继电器、浪涌保护器、开关电源、模拟量输入输出模块、开关量输入输出模块等</w:t>
            </w:r>
            <w:r>
              <w:rPr>
                <w:rFonts w:hint="eastAsia" w:ascii="宋体" w:hAnsi="宋体"/>
                <w:color w:val="000000"/>
                <w:kern w:val="0"/>
                <w:sz w:val="20"/>
                <w:szCs w:val="20"/>
                <w:lang w:eastAsia="zh-CN"/>
              </w:rPr>
              <w:t>，</w:t>
            </w:r>
            <w:r>
              <w:rPr>
                <w:rFonts w:hint="eastAsia" w:ascii="宋体" w:hAnsi="宋体"/>
                <w:color w:val="000000"/>
                <w:kern w:val="0"/>
                <w:sz w:val="20"/>
                <w:szCs w:val="20"/>
              </w:rPr>
              <w:t>包含设备吊装</w:t>
            </w:r>
          </w:p>
        </w:tc>
      </w:tr>
      <w:tr>
        <w:tblPrEx>
          <w:tblCellMar>
            <w:top w:w="0" w:type="dxa"/>
            <w:left w:w="108" w:type="dxa"/>
            <w:bottom w:w="0" w:type="dxa"/>
            <w:right w:w="108" w:type="dxa"/>
          </w:tblCellMar>
        </w:tblPrEx>
        <w:trPr>
          <w:trHeight w:val="366" w:hRule="atLeast"/>
          <w:jc w:val="center"/>
        </w:trPr>
        <w:tc>
          <w:tcPr>
            <w:tcW w:w="6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8</w:t>
            </w:r>
          </w:p>
        </w:tc>
        <w:tc>
          <w:tcPr>
            <w:tcW w:w="17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380V变频器</w:t>
            </w:r>
          </w:p>
        </w:tc>
        <w:tc>
          <w:tcPr>
            <w:tcW w:w="63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套</w:t>
            </w:r>
          </w:p>
        </w:tc>
        <w:tc>
          <w:tcPr>
            <w:tcW w:w="67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12</w:t>
            </w:r>
          </w:p>
        </w:tc>
        <w:tc>
          <w:tcPr>
            <w:tcW w:w="6055"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选型与系统控制匹配</w:t>
            </w:r>
          </w:p>
        </w:tc>
      </w:tr>
      <w:tr>
        <w:tblPrEx>
          <w:tblCellMar>
            <w:top w:w="0" w:type="dxa"/>
            <w:left w:w="108" w:type="dxa"/>
            <w:bottom w:w="0" w:type="dxa"/>
            <w:right w:w="108" w:type="dxa"/>
          </w:tblCellMar>
        </w:tblPrEx>
        <w:trPr>
          <w:trHeight w:val="270" w:hRule="atLeast"/>
          <w:jc w:val="center"/>
        </w:trPr>
        <w:tc>
          <w:tcPr>
            <w:tcW w:w="6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9</w:t>
            </w:r>
          </w:p>
        </w:tc>
        <w:tc>
          <w:tcPr>
            <w:tcW w:w="17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PLC控制器</w:t>
            </w:r>
          </w:p>
        </w:tc>
        <w:tc>
          <w:tcPr>
            <w:tcW w:w="63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套</w:t>
            </w:r>
          </w:p>
        </w:tc>
        <w:tc>
          <w:tcPr>
            <w:tcW w:w="67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12</w:t>
            </w:r>
          </w:p>
        </w:tc>
        <w:tc>
          <w:tcPr>
            <w:tcW w:w="6055"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选型与系统控制匹配</w:t>
            </w:r>
          </w:p>
        </w:tc>
      </w:tr>
      <w:tr>
        <w:tblPrEx>
          <w:tblCellMar>
            <w:top w:w="0" w:type="dxa"/>
            <w:left w:w="108" w:type="dxa"/>
            <w:bottom w:w="0" w:type="dxa"/>
            <w:right w:w="108" w:type="dxa"/>
          </w:tblCellMar>
        </w:tblPrEx>
        <w:trPr>
          <w:trHeight w:val="270" w:hRule="atLeast"/>
          <w:jc w:val="center"/>
        </w:trPr>
        <w:tc>
          <w:tcPr>
            <w:tcW w:w="6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10</w:t>
            </w:r>
          </w:p>
        </w:tc>
        <w:tc>
          <w:tcPr>
            <w:tcW w:w="17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压差开关</w:t>
            </w:r>
          </w:p>
        </w:tc>
        <w:tc>
          <w:tcPr>
            <w:tcW w:w="63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个</w:t>
            </w:r>
          </w:p>
        </w:tc>
        <w:tc>
          <w:tcPr>
            <w:tcW w:w="67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12</w:t>
            </w:r>
          </w:p>
        </w:tc>
        <w:tc>
          <w:tcPr>
            <w:tcW w:w="6055"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30</w:t>
            </w:r>
            <w:r>
              <w:rPr>
                <w:rFonts w:hint="eastAsia" w:ascii="宋体" w:hAnsi="宋体"/>
                <w:color w:val="000000"/>
                <w:kern w:val="0"/>
                <w:sz w:val="20"/>
                <w:szCs w:val="20"/>
                <w:lang w:eastAsia="zh-CN"/>
              </w:rPr>
              <w:t>—</w:t>
            </w:r>
            <w:r>
              <w:rPr>
                <w:rFonts w:hint="eastAsia" w:ascii="宋体" w:hAnsi="宋体"/>
                <w:color w:val="000000"/>
                <w:kern w:val="0"/>
                <w:sz w:val="20"/>
                <w:szCs w:val="20"/>
              </w:rPr>
              <w:t>300Pa</w:t>
            </w:r>
            <w:r>
              <w:rPr>
                <w:rFonts w:hint="eastAsia" w:ascii="宋体" w:hAnsi="宋体"/>
                <w:color w:val="000000"/>
                <w:kern w:val="0"/>
                <w:sz w:val="20"/>
                <w:szCs w:val="20"/>
                <w:lang w:eastAsia="zh-CN"/>
              </w:rPr>
              <w:t>，</w:t>
            </w:r>
            <w:r>
              <w:rPr>
                <w:rFonts w:hint="eastAsia" w:ascii="宋体" w:hAnsi="宋体"/>
                <w:color w:val="000000"/>
                <w:kern w:val="0"/>
                <w:sz w:val="20"/>
                <w:szCs w:val="20"/>
              </w:rPr>
              <w:t>干接点信号输出</w:t>
            </w:r>
          </w:p>
        </w:tc>
      </w:tr>
      <w:tr>
        <w:tblPrEx>
          <w:tblCellMar>
            <w:top w:w="0" w:type="dxa"/>
            <w:left w:w="108" w:type="dxa"/>
            <w:bottom w:w="0" w:type="dxa"/>
            <w:right w:w="108" w:type="dxa"/>
          </w:tblCellMar>
        </w:tblPrEx>
        <w:trPr>
          <w:trHeight w:val="270" w:hRule="atLeast"/>
          <w:jc w:val="center"/>
        </w:trPr>
        <w:tc>
          <w:tcPr>
            <w:tcW w:w="6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11</w:t>
            </w:r>
          </w:p>
        </w:tc>
        <w:tc>
          <w:tcPr>
            <w:tcW w:w="17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管道静压传感器</w:t>
            </w:r>
          </w:p>
        </w:tc>
        <w:tc>
          <w:tcPr>
            <w:tcW w:w="63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个</w:t>
            </w:r>
          </w:p>
        </w:tc>
        <w:tc>
          <w:tcPr>
            <w:tcW w:w="67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12</w:t>
            </w:r>
          </w:p>
        </w:tc>
        <w:tc>
          <w:tcPr>
            <w:tcW w:w="6055"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0-1500Pa,DC24V,0-10V控制信号</w:t>
            </w:r>
          </w:p>
        </w:tc>
      </w:tr>
      <w:tr>
        <w:tblPrEx>
          <w:tblCellMar>
            <w:top w:w="0" w:type="dxa"/>
            <w:left w:w="108" w:type="dxa"/>
            <w:bottom w:w="0" w:type="dxa"/>
            <w:right w:w="108" w:type="dxa"/>
          </w:tblCellMar>
        </w:tblPrEx>
        <w:trPr>
          <w:trHeight w:val="270" w:hRule="atLeast"/>
          <w:jc w:val="center"/>
        </w:trPr>
        <w:tc>
          <w:tcPr>
            <w:tcW w:w="6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12</w:t>
            </w:r>
          </w:p>
        </w:tc>
        <w:tc>
          <w:tcPr>
            <w:tcW w:w="17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电缆网线及桥架</w:t>
            </w:r>
          </w:p>
        </w:tc>
        <w:tc>
          <w:tcPr>
            <w:tcW w:w="63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套</w:t>
            </w:r>
          </w:p>
        </w:tc>
        <w:tc>
          <w:tcPr>
            <w:tcW w:w="67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12</w:t>
            </w:r>
          </w:p>
        </w:tc>
        <w:tc>
          <w:tcPr>
            <w:tcW w:w="6055"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控制线</w:t>
            </w:r>
            <w:r>
              <w:rPr>
                <w:rFonts w:hint="eastAsia" w:ascii="宋体" w:hAnsi="宋体"/>
                <w:color w:val="000000"/>
                <w:kern w:val="0"/>
                <w:sz w:val="20"/>
                <w:szCs w:val="20"/>
                <w:lang w:eastAsia="zh-CN"/>
              </w:rPr>
              <w:t>，</w:t>
            </w:r>
            <w:r>
              <w:rPr>
                <w:rFonts w:hint="eastAsia" w:ascii="宋体" w:hAnsi="宋体"/>
                <w:color w:val="000000"/>
                <w:kern w:val="0"/>
                <w:sz w:val="20"/>
                <w:szCs w:val="20"/>
              </w:rPr>
              <w:t>电线</w:t>
            </w:r>
            <w:r>
              <w:rPr>
                <w:rFonts w:hint="eastAsia" w:ascii="宋体" w:hAnsi="宋体"/>
                <w:color w:val="000000"/>
                <w:kern w:val="0"/>
                <w:sz w:val="20"/>
                <w:szCs w:val="20"/>
                <w:lang w:eastAsia="zh-CN"/>
              </w:rPr>
              <w:t>，</w:t>
            </w:r>
            <w:r>
              <w:rPr>
                <w:rFonts w:hint="eastAsia" w:ascii="宋体" w:hAnsi="宋体"/>
                <w:color w:val="000000"/>
                <w:kern w:val="0"/>
                <w:sz w:val="20"/>
                <w:szCs w:val="20"/>
              </w:rPr>
              <w:t>通讯网线等</w:t>
            </w:r>
          </w:p>
        </w:tc>
      </w:tr>
      <w:tr>
        <w:tblPrEx>
          <w:tblCellMar>
            <w:top w:w="0" w:type="dxa"/>
            <w:left w:w="108" w:type="dxa"/>
            <w:bottom w:w="0" w:type="dxa"/>
            <w:right w:w="108" w:type="dxa"/>
          </w:tblCellMar>
        </w:tblPrEx>
        <w:trPr>
          <w:trHeight w:val="270" w:hRule="atLeast"/>
          <w:jc w:val="center"/>
        </w:trPr>
        <w:tc>
          <w:tcPr>
            <w:tcW w:w="6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13</w:t>
            </w:r>
          </w:p>
        </w:tc>
        <w:tc>
          <w:tcPr>
            <w:tcW w:w="17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废气处理设备</w:t>
            </w:r>
          </w:p>
        </w:tc>
        <w:tc>
          <w:tcPr>
            <w:tcW w:w="63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套</w:t>
            </w:r>
          </w:p>
        </w:tc>
        <w:tc>
          <w:tcPr>
            <w:tcW w:w="67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4</w:t>
            </w:r>
          </w:p>
        </w:tc>
        <w:tc>
          <w:tcPr>
            <w:tcW w:w="6055"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auto"/>
                <w:sz w:val="20"/>
                <w:szCs w:val="20"/>
              </w:rPr>
            </w:pPr>
            <w:r>
              <w:rPr>
                <w:rFonts w:hint="eastAsia" w:ascii="宋体" w:hAnsi="宋体"/>
                <w:color w:val="auto"/>
                <w:kern w:val="0"/>
                <w:sz w:val="20"/>
                <w:szCs w:val="20"/>
              </w:rPr>
              <w:t>规格3400*2120*2580mm</w:t>
            </w:r>
            <w:r>
              <w:rPr>
                <w:rFonts w:hint="eastAsia" w:ascii="宋体" w:hAnsi="宋体"/>
                <w:color w:val="auto"/>
                <w:kern w:val="0"/>
                <w:sz w:val="20"/>
                <w:szCs w:val="20"/>
                <w:lang w:eastAsia="zh-CN"/>
              </w:rPr>
              <w:t>，</w:t>
            </w:r>
            <w:r>
              <w:rPr>
                <w:rFonts w:hint="eastAsia" w:ascii="宋体" w:hAnsi="宋体"/>
                <w:color w:val="auto"/>
                <w:kern w:val="0"/>
                <w:sz w:val="20"/>
                <w:szCs w:val="20"/>
              </w:rPr>
              <w:t>采用干式混合废气处理工艺</w:t>
            </w:r>
            <w:r>
              <w:rPr>
                <w:rFonts w:hint="eastAsia" w:ascii="宋体" w:hAnsi="宋体"/>
                <w:color w:val="auto"/>
                <w:kern w:val="0"/>
                <w:sz w:val="20"/>
                <w:szCs w:val="20"/>
                <w:lang w:eastAsia="zh-CN"/>
              </w:rPr>
              <w:t>，</w:t>
            </w:r>
            <w:r>
              <w:rPr>
                <w:rFonts w:hint="eastAsia" w:ascii="宋体" w:hAnsi="宋体"/>
                <w:color w:val="auto"/>
                <w:kern w:val="0"/>
                <w:sz w:val="20"/>
                <w:szCs w:val="20"/>
              </w:rPr>
              <w:t>箱体材质采用不小于50mm厚双面热镀锌钢板表面喷涂氟碳</w:t>
            </w:r>
            <w:r>
              <w:rPr>
                <w:rFonts w:hint="eastAsia" w:ascii="宋体" w:hAnsi="宋体"/>
                <w:color w:val="auto"/>
                <w:kern w:val="0"/>
                <w:sz w:val="20"/>
                <w:szCs w:val="20"/>
                <w:lang w:eastAsia="zh-CN"/>
              </w:rPr>
              <w:t>（</w:t>
            </w:r>
            <w:r>
              <w:rPr>
                <w:rFonts w:hint="eastAsia" w:ascii="宋体" w:hAnsi="宋体"/>
                <w:color w:val="auto"/>
                <w:kern w:val="0"/>
                <w:sz w:val="20"/>
                <w:szCs w:val="20"/>
              </w:rPr>
              <w:t>PVDF</w:t>
            </w:r>
            <w:r>
              <w:rPr>
                <w:rFonts w:hint="eastAsia" w:ascii="宋体" w:hAnsi="宋体"/>
                <w:color w:val="auto"/>
                <w:kern w:val="0"/>
                <w:sz w:val="20"/>
                <w:szCs w:val="20"/>
                <w:lang w:eastAsia="zh-CN"/>
              </w:rPr>
              <w:t>）</w:t>
            </w:r>
            <w:r>
              <w:rPr>
                <w:rFonts w:hint="eastAsia" w:ascii="宋体" w:hAnsi="宋体"/>
                <w:color w:val="auto"/>
                <w:kern w:val="0"/>
                <w:sz w:val="20"/>
                <w:szCs w:val="20"/>
              </w:rPr>
              <w:t>涂层，芯材采用岩棉的保温材质</w:t>
            </w:r>
            <w:r>
              <w:rPr>
                <w:rFonts w:hint="eastAsia" w:ascii="宋体" w:hAnsi="宋体" w:eastAsia="宋体" w:cs="Times New Roman"/>
                <w:color w:val="auto"/>
                <w:sz w:val="20"/>
                <w:szCs w:val="20"/>
                <w:lang w:eastAsia="zh-CN"/>
              </w:rPr>
              <w:t>（</w:t>
            </w:r>
            <w:r>
              <w:rPr>
                <w:rFonts w:hint="eastAsia" w:ascii="宋体" w:hAnsi="宋体" w:eastAsia="宋体" w:cs="Times New Roman"/>
                <w:color w:val="auto"/>
                <w:sz w:val="20"/>
                <w:szCs w:val="20"/>
                <w:lang w:val="en-US" w:eastAsia="zh-CN"/>
              </w:rPr>
              <w:t>箱体材质需满足防腐及阻燃要求，热镀锌钢板厚度满足国标要求</w:t>
            </w:r>
            <w:r>
              <w:rPr>
                <w:rFonts w:hint="eastAsia" w:ascii="宋体" w:hAnsi="宋体" w:eastAsia="宋体" w:cs="Times New Roman"/>
                <w:color w:val="auto"/>
                <w:sz w:val="20"/>
                <w:szCs w:val="20"/>
                <w:lang w:eastAsia="zh-CN"/>
              </w:rPr>
              <w:t>）</w:t>
            </w:r>
            <w:r>
              <w:rPr>
                <w:rFonts w:hint="eastAsia" w:ascii="宋体" w:hAnsi="宋体"/>
                <w:color w:val="auto"/>
                <w:kern w:val="0"/>
                <w:sz w:val="20"/>
                <w:szCs w:val="20"/>
              </w:rPr>
              <w:t>。风量:20000m³/h</w:t>
            </w:r>
            <w:r>
              <w:rPr>
                <w:rFonts w:hint="eastAsia" w:ascii="宋体" w:hAnsi="宋体"/>
                <w:color w:val="auto"/>
                <w:kern w:val="0"/>
                <w:sz w:val="20"/>
                <w:szCs w:val="20"/>
                <w:lang w:eastAsia="zh-CN"/>
              </w:rPr>
              <w:t>，</w:t>
            </w:r>
            <w:r>
              <w:rPr>
                <w:rFonts w:hint="eastAsia" w:ascii="宋体" w:hAnsi="宋体"/>
                <w:color w:val="auto"/>
                <w:kern w:val="0"/>
                <w:sz w:val="20"/>
                <w:szCs w:val="20"/>
              </w:rPr>
              <w:t>功率:4.1kW</w:t>
            </w:r>
            <w:r>
              <w:rPr>
                <w:rFonts w:hint="eastAsia" w:ascii="宋体" w:hAnsi="宋体"/>
                <w:color w:val="auto"/>
                <w:kern w:val="0"/>
                <w:sz w:val="20"/>
                <w:szCs w:val="20"/>
                <w:lang w:eastAsia="zh-CN"/>
              </w:rPr>
              <w:t>，</w:t>
            </w:r>
            <w:r>
              <w:rPr>
                <w:rFonts w:hint="eastAsia" w:ascii="宋体" w:hAnsi="宋体"/>
                <w:color w:val="auto"/>
                <w:kern w:val="0"/>
                <w:sz w:val="20"/>
                <w:szCs w:val="20"/>
              </w:rPr>
              <w:t>分为初滤单元、无机处理单元</w:t>
            </w:r>
            <w:r>
              <w:rPr>
                <w:rFonts w:hint="eastAsia" w:ascii="宋体" w:hAnsi="宋体"/>
                <w:color w:val="auto"/>
                <w:kern w:val="0"/>
                <w:sz w:val="20"/>
                <w:szCs w:val="20"/>
                <w:lang w:eastAsia="zh-CN"/>
              </w:rPr>
              <w:t>（</w:t>
            </w:r>
            <w:r>
              <w:rPr>
                <w:rFonts w:hint="eastAsia" w:ascii="宋体" w:hAnsi="宋体"/>
                <w:color w:val="auto"/>
                <w:kern w:val="0"/>
                <w:sz w:val="20"/>
                <w:szCs w:val="20"/>
              </w:rPr>
              <w:t>SDG复合吸附剂配吸附剂饱和指示</w:t>
            </w:r>
            <w:r>
              <w:rPr>
                <w:rFonts w:hint="eastAsia" w:ascii="宋体" w:hAnsi="宋体"/>
                <w:color w:val="auto"/>
                <w:kern w:val="0"/>
                <w:sz w:val="20"/>
                <w:szCs w:val="20"/>
                <w:lang w:eastAsia="zh-CN"/>
              </w:rPr>
              <w:t>）</w:t>
            </w:r>
            <w:r>
              <w:rPr>
                <w:rFonts w:hint="eastAsia" w:ascii="宋体" w:hAnsi="宋体"/>
                <w:color w:val="auto"/>
                <w:kern w:val="0"/>
                <w:sz w:val="20"/>
                <w:szCs w:val="20"/>
              </w:rPr>
              <w:t>、有机处理单元</w:t>
            </w:r>
            <w:r>
              <w:rPr>
                <w:rFonts w:hint="eastAsia" w:ascii="宋体" w:hAnsi="宋体"/>
                <w:color w:val="auto"/>
                <w:kern w:val="0"/>
                <w:sz w:val="20"/>
                <w:szCs w:val="20"/>
                <w:lang w:eastAsia="zh-CN"/>
              </w:rPr>
              <w:t>（</w:t>
            </w:r>
            <w:r>
              <w:rPr>
                <w:rFonts w:hint="eastAsia" w:ascii="宋体" w:hAnsi="宋体"/>
                <w:color w:val="auto"/>
                <w:kern w:val="0"/>
                <w:sz w:val="20"/>
                <w:szCs w:val="20"/>
              </w:rPr>
              <w:t>碳基吸附催化氧化配TVOC超限值警示</w:t>
            </w:r>
            <w:r>
              <w:rPr>
                <w:rFonts w:hint="eastAsia" w:ascii="宋体" w:hAnsi="宋体"/>
                <w:color w:val="auto"/>
                <w:kern w:val="0"/>
                <w:sz w:val="20"/>
                <w:szCs w:val="20"/>
                <w:lang w:eastAsia="zh-CN"/>
              </w:rPr>
              <w:t>），</w:t>
            </w:r>
            <w:r>
              <w:rPr>
                <w:rFonts w:hint="eastAsia" w:ascii="宋体" w:hAnsi="宋体"/>
                <w:color w:val="auto"/>
                <w:kern w:val="0"/>
                <w:sz w:val="20"/>
                <w:szCs w:val="20"/>
              </w:rPr>
              <w:t>全流程风阻监测</w:t>
            </w:r>
            <w:r>
              <w:rPr>
                <w:rFonts w:hint="eastAsia" w:ascii="宋体" w:hAnsi="宋体"/>
                <w:color w:val="auto"/>
                <w:kern w:val="0"/>
                <w:sz w:val="20"/>
                <w:szCs w:val="20"/>
                <w:lang w:eastAsia="zh-CN"/>
              </w:rPr>
              <w:t>，</w:t>
            </w:r>
            <w:r>
              <w:rPr>
                <w:rFonts w:hint="eastAsia" w:ascii="宋体" w:hAnsi="宋体"/>
                <w:color w:val="auto"/>
                <w:kern w:val="0"/>
                <w:sz w:val="20"/>
                <w:szCs w:val="20"/>
              </w:rPr>
              <w:t>风速风量实时显示</w:t>
            </w:r>
            <w:r>
              <w:rPr>
                <w:rFonts w:hint="eastAsia" w:ascii="宋体" w:hAnsi="宋体"/>
                <w:color w:val="auto"/>
                <w:kern w:val="0"/>
                <w:sz w:val="20"/>
                <w:szCs w:val="20"/>
                <w:lang w:eastAsia="zh-CN"/>
              </w:rPr>
              <w:t>，</w:t>
            </w:r>
            <w:r>
              <w:rPr>
                <w:rFonts w:hint="eastAsia" w:ascii="宋体" w:hAnsi="宋体"/>
                <w:color w:val="auto"/>
                <w:kern w:val="0"/>
                <w:sz w:val="20"/>
                <w:szCs w:val="20"/>
              </w:rPr>
              <w:t>过程故障报警</w:t>
            </w:r>
            <w:r>
              <w:rPr>
                <w:rFonts w:hint="eastAsia" w:ascii="宋体" w:hAnsi="宋体"/>
                <w:color w:val="auto"/>
                <w:kern w:val="0"/>
                <w:sz w:val="20"/>
                <w:szCs w:val="20"/>
                <w:lang w:eastAsia="zh-CN"/>
              </w:rPr>
              <w:t>，</w:t>
            </w:r>
            <w:r>
              <w:rPr>
                <w:rFonts w:hint="eastAsia" w:ascii="宋体" w:hAnsi="宋体"/>
                <w:color w:val="auto"/>
                <w:kern w:val="0"/>
                <w:sz w:val="20"/>
                <w:szCs w:val="20"/>
              </w:rPr>
              <w:t>包含设备吊装</w:t>
            </w:r>
          </w:p>
        </w:tc>
      </w:tr>
      <w:tr>
        <w:tblPrEx>
          <w:tblCellMar>
            <w:top w:w="0" w:type="dxa"/>
            <w:left w:w="108" w:type="dxa"/>
            <w:bottom w:w="0" w:type="dxa"/>
            <w:right w:w="108" w:type="dxa"/>
          </w:tblCellMar>
        </w:tblPrEx>
        <w:trPr>
          <w:trHeight w:val="960" w:hRule="atLeast"/>
          <w:jc w:val="center"/>
        </w:trPr>
        <w:tc>
          <w:tcPr>
            <w:tcW w:w="6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14</w:t>
            </w:r>
          </w:p>
        </w:tc>
        <w:tc>
          <w:tcPr>
            <w:tcW w:w="17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废气处理设备</w:t>
            </w:r>
          </w:p>
        </w:tc>
        <w:tc>
          <w:tcPr>
            <w:tcW w:w="63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套</w:t>
            </w:r>
          </w:p>
        </w:tc>
        <w:tc>
          <w:tcPr>
            <w:tcW w:w="67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8</w:t>
            </w:r>
          </w:p>
        </w:tc>
        <w:tc>
          <w:tcPr>
            <w:tcW w:w="6055"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auto"/>
                <w:sz w:val="20"/>
                <w:szCs w:val="20"/>
              </w:rPr>
            </w:pPr>
            <w:r>
              <w:rPr>
                <w:rFonts w:hint="eastAsia" w:ascii="宋体" w:hAnsi="宋体"/>
                <w:color w:val="auto"/>
                <w:kern w:val="0"/>
                <w:sz w:val="20"/>
                <w:szCs w:val="20"/>
              </w:rPr>
              <w:t>规格3200*1515*1980mm</w:t>
            </w:r>
            <w:r>
              <w:rPr>
                <w:rFonts w:hint="eastAsia" w:ascii="宋体" w:hAnsi="宋体"/>
                <w:color w:val="auto"/>
                <w:kern w:val="0"/>
                <w:sz w:val="20"/>
                <w:szCs w:val="20"/>
                <w:lang w:eastAsia="zh-CN"/>
              </w:rPr>
              <w:t>，</w:t>
            </w:r>
            <w:r>
              <w:rPr>
                <w:rFonts w:hint="eastAsia" w:ascii="宋体" w:hAnsi="宋体"/>
                <w:color w:val="auto"/>
                <w:kern w:val="0"/>
                <w:sz w:val="20"/>
                <w:szCs w:val="20"/>
              </w:rPr>
              <w:t>采用干式混合废气处理工艺</w:t>
            </w:r>
            <w:r>
              <w:rPr>
                <w:rFonts w:hint="eastAsia" w:ascii="宋体" w:hAnsi="宋体"/>
                <w:color w:val="auto"/>
                <w:kern w:val="0"/>
                <w:sz w:val="20"/>
                <w:szCs w:val="20"/>
                <w:lang w:eastAsia="zh-CN"/>
              </w:rPr>
              <w:t>，</w:t>
            </w:r>
            <w:r>
              <w:rPr>
                <w:rFonts w:hint="eastAsia" w:ascii="宋体" w:hAnsi="宋体"/>
                <w:color w:val="auto"/>
                <w:kern w:val="0"/>
                <w:sz w:val="20"/>
                <w:szCs w:val="20"/>
              </w:rPr>
              <w:t>箱体材质采用不小于50mm厚双面热镀锌钢板表面喷涂氟碳</w:t>
            </w:r>
            <w:r>
              <w:rPr>
                <w:rFonts w:hint="eastAsia" w:ascii="宋体" w:hAnsi="宋体"/>
                <w:color w:val="auto"/>
                <w:kern w:val="0"/>
                <w:sz w:val="20"/>
                <w:szCs w:val="20"/>
                <w:lang w:eastAsia="zh-CN"/>
              </w:rPr>
              <w:t>（</w:t>
            </w:r>
            <w:r>
              <w:rPr>
                <w:rFonts w:hint="eastAsia" w:ascii="宋体" w:hAnsi="宋体"/>
                <w:color w:val="auto"/>
                <w:kern w:val="0"/>
                <w:sz w:val="20"/>
                <w:szCs w:val="20"/>
              </w:rPr>
              <w:t>PVDF</w:t>
            </w:r>
            <w:r>
              <w:rPr>
                <w:rFonts w:hint="eastAsia" w:ascii="宋体" w:hAnsi="宋体"/>
                <w:color w:val="auto"/>
                <w:kern w:val="0"/>
                <w:sz w:val="20"/>
                <w:szCs w:val="20"/>
                <w:lang w:eastAsia="zh-CN"/>
              </w:rPr>
              <w:t>）</w:t>
            </w:r>
            <w:r>
              <w:rPr>
                <w:rFonts w:hint="eastAsia" w:ascii="宋体" w:hAnsi="宋体"/>
                <w:color w:val="auto"/>
                <w:kern w:val="0"/>
                <w:sz w:val="20"/>
                <w:szCs w:val="20"/>
              </w:rPr>
              <w:t>涂层，芯材采用岩棉的保温材质</w:t>
            </w:r>
            <w:r>
              <w:rPr>
                <w:rFonts w:hint="eastAsia" w:ascii="宋体" w:hAnsi="宋体" w:eastAsia="宋体" w:cs="Times New Roman"/>
                <w:color w:val="auto"/>
                <w:sz w:val="20"/>
                <w:szCs w:val="20"/>
                <w:lang w:eastAsia="zh-CN"/>
              </w:rPr>
              <w:t>（</w:t>
            </w:r>
            <w:r>
              <w:rPr>
                <w:rFonts w:hint="eastAsia" w:ascii="宋体" w:hAnsi="宋体" w:eastAsia="宋体" w:cs="Times New Roman"/>
                <w:color w:val="auto"/>
                <w:sz w:val="20"/>
                <w:szCs w:val="20"/>
                <w:lang w:val="en-US" w:eastAsia="zh-CN"/>
              </w:rPr>
              <w:t>箱体材质需满足防腐及阻燃要求，热镀锌钢板厚度满足国标要求</w:t>
            </w:r>
            <w:r>
              <w:rPr>
                <w:rFonts w:hint="eastAsia" w:ascii="宋体" w:hAnsi="宋体" w:eastAsia="宋体" w:cs="Times New Roman"/>
                <w:color w:val="auto"/>
                <w:sz w:val="20"/>
                <w:szCs w:val="20"/>
                <w:lang w:eastAsia="zh-CN"/>
              </w:rPr>
              <w:t>）</w:t>
            </w:r>
            <w:r>
              <w:rPr>
                <w:rFonts w:hint="eastAsia" w:ascii="宋体" w:hAnsi="宋体"/>
                <w:color w:val="auto"/>
                <w:kern w:val="0"/>
                <w:sz w:val="20"/>
                <w:szCs w:val="20"/>
              </w:rPr>
              <w:t>。风量:10000m³/h</w:t>
            </w:r>
            <w:r>
              <w:rPr>
                <w:rFonts w:hint="eastAsia" w:ascii="宋体" w:hAnsi="宋体"/>
                <w:color w:val="auto"/>
                <w:kern w:val="0"/>
                <w:sz w:val="20"/>
                <w:szCs w:val="20"/>
                <w:lang w:eastAsia="zh-CN"/>
              </w:rPr>
              <w:t>，</w:t>
            </w:r>
            <w:r>
              <w:rPr>
                <w:rFonts w:hint="eastAsia" w:ascii="宋体" w:hAnsi="宋体"/>
                <w:color w:val="auto"/>
                <w:kern w:val="0"/>
                <w:sz w:val="20"/>
                <w:szCs w:val="20"/>
              </w:rPr>
              <w:t>功率:3.2kW</w:t>
            </w:r>
            <w:r>
              <w:rPr>
                <w:rFonts w:hint="eastAsia" w:ascii="宋体" w:hAnsi="宋体"/>
                <w:color w:val="auto"/>
                <w:kern w:val="0"/>
                <w:sz w:val="20"/>
                <w:szCs w:val="20"/>
                <w:lang w:eastAsia="zh-CN"/>
              </w:rPr>
              <w:t>，</w:t>
            </w:r>
            <w:r>
              <w:rPr>
                <w:rFonts w:hint="eastAsia" w:ascii="宋体" w:hAnsi="宋体"/>
                <w:color w:val="auto"/>
                <w:kern w:val="0"/>
                <w:sz w:val="20"/>
                <w:szCs w:val="20"/>
              </w:rPr>
              <w:t>分为陶瓷初滤单元、无机处理单元</w:t>
            </w:r>
            <w:r>
              <w:rPr>
                <w:rFonts w:hint="eastAsia" w:ascii="宋体" w:hAnsi="宋体"/>
                <w:color w:val="auto"/>
                <w:kern w:val="0"/>
                <w:sz w:val="20"/>
                <w:szCs w:val="20"/>
                <w:lang w:eastAsia="zh-CN"/>
              </w:rPr>
              <w:t>（</w:t>
            </w:r>
            <w:r>
              <w:rPr>
                <w:rFonts w:hint="eastAsia" w:ascii="宋体" w:hAnsi="宋体"/>
                <w:color w:val="auto"/>
                <w:kern w:val="0"/>
                <w:sz w:val="20"/>
                <w:szCs w:val="20"/>
              </w:rPr>
              <w:t>SDG复合吸附剂配吸附剂饱和指示</w:t>
            </w:r>
            <w:r>
              <w:rPr>
                <w:rFonts w:hint="eastAsia" w:ascii="宋体" w:hAnsi="宋体"/>
                <w:color w:val="auto"/>
                <w:kern w:val="0"/>
                <w:sz w:val="20"/>
                <w:szCs w:val="20"/>
                <w:lang w:eastAsia="zh-CN"/>
              </w:rPr>
              <w:t>）</w:t>
            </w:r>
            <w:r>
              <w:rPr>
                <w:rFonts w:hint="eastAsia" w:ascii="宋体" w:hAnsi="宋体"/>
                <w:color w:val="auto"/>
                <w:kern w:val="0"/>
                <w:sz w:val="20"/>
                <w:szCs w:val="20"/>
              </w:rPr>
              <w:t>、有机处理单元</w:t>
            </w:r>
            <w:r>
              <w:rPr>
                <w:rFonts w:hint="eastAsia" w:ascii="宋体" w:hAnsi="宋体"/>
                <w:color w:val="auto"/>
                <w:kern w:val="0"/>
                <w:sz w:val="20"/>
                <w:szCs w:val="20"/>
                <w:lang w:eastAsia="zh-CN"/>
              </w:rPr>
              <w:t>（</w:t>
            </w:r>
            <w:r>
              <w:rPr>
                <w:rFonts w:hint="eastAsia" w:ascii="宋体" w:hAnsi="宋体"/>
                <w:color w:val="auto"/>
                <w:kern w:val="0"/>
                <w:sz w:val="20"/>
                <w:szCs w:val="20"/>
              </w:rPr>
              <w:t>碳基吸附催化氧化配TVOC超限值警示</w:t>
            </w:r>
            <w:r>
              <w:rPr>
                <w:rFonts w:hint="eastAsia" w:ascii="宋体" w:hAnsi="宋体"/>
                <w:color w:val="auto"/>
                <w:kern w:val="0"/>
                <w:sz w:val="20"/>
                <w:szCs w:val="20"/>
                <w:lang w:eastAsia="zh-CN"/>
              </w:rPr>
              <w:t>），</w:t>
            </w:r>
            <w:r>
              <w:rPr>
                <w:rFonts w:hint="eastAsia" w:ascii="宋体" w:hAnsi="宋体"/>
                <w:color w:val="auto"/>
                <w:kern w:val="0"/>
                <w:sz w:val="20"/>
                <w:szCs w:val="20"/>
              </w:rPr>
              <w:t>全流程风阻监测</w:t>
            </w:r>
            <w:r>
              <w:rPr>
                <w:rFonts w:hint="eastAsia" w:ascii="宋体" w:hAnsi="宋体"/>
                <w:color w:val="auto"/>
                <w:kern w:val="0"/>
                <w:sz w:val="20"/>
                <w:szCs w:val="20"/>
                <w:lang w:eastAsia="zh-CN"/>
              </w:rPr>
              <w:t>，</w:t>
            </w:r>
            <w:r>
              <w:rPr>
                <w:rFonts w:hint="eastAsia" w:ascii="宋体" w:hAnsi="宋体"/>
                <w:color w:val="auto"/>
                <w:kern w:val="0"/>
                <w:sz w:val="20"/>
                <w:szCs w:val="20"/>
              </w:rPr>
              <w:t>风速风量实时显示</w:t>
            </w:r>
            <w:r>
              <w:rPr>
                <w:rFonts w:hint="eastAsia" w:ascii="宋体" w:hAnsi="宋体"/>
                <w:color w:val="auto"/>
                <w:kern w:val="0"/>
                <w:sz w:val="20"/>
                <w:szCs w:val="20"/>
                <w:lang w:eastAsia="zh-CN"/>
              </w:rPr>
              <w:t>，</w:t>
            </w:r>
            <w:r>
              <w:rPr>
                <w:rFonts w:hint="eastAsia" w:ascii="宋体" w:hAnsi="宋体"/>
                <w:color w:val="auto"/>
                <w:kern w:val="0"/>
                <w:sz w:val="20"/>
                <w:szCs w:val="20"/>
              </w:rPr>
              <w:t>过程故障报警</w:t>
            </w:r>
            <w:r>
              <w:rPr>
                <w:rFonts w:hint="eastAsia" w:ascii="宋体" w:hAnsi="宋体"/>
                <w:color w:val="auto"/>
                <w:kern w:val="0"/>
                <w:sz w:val="20"/>
                <w:szCs w:val="20"/>
                <w:lang w:eastAsia="zh-CN"/>
              </w:rPr>
              <w:t>，</w:t>
            </w:r>
            <w:r>
              <w:rPr>
                <w:rFonts w:hint="eastAsia" w:ascii="宋体" w:hAnsi="宋体"/>
                <w:color w:val="auto"/>
                <w:kern w:val="0"/>
                <w:sz w:val="20"/>
                <w:szCs w:val="20"/>
              </w:rPr>
              <w:t>包含设备吊装</w:t>
            </w:r>
          </w:p>
        </w:tc>
      </w:tr>
    </w:tbl>
    <w:p>
      <w:pPr>
        <w:widowControl/>
        <w:spacing w:line="360" w:lineRule="exact"/>
        <w:jc w:val="left"/>
        <w:rPr>
          <w:rFonts w:ascii="宋体" w:hAnsi="宋体" w:cs="等线"/>
          <w:color w:val="000000"/>
          <w:kern w:val="0"/>
          <w:sz w:val="20"/>
          <w:szCs w:val="20"/>
        </w:rPr>
      </w:pPr>
      <w:r>
        <w:rPr>
          <w:rFonts w:hint="eastAsia" w:ascii="宋体" w:hAnsi="宋体"/>
          <w:color w:val="000000"/>
          <w:kern w:val="0"/>
          <w:sz w:val="20"/>
          <w:szCs w:val="20"/>
        </w:rPr>
        <w:t>注：表中所有设备、设施、材料等，均包含运输、安装等费用</w:t>
      </w:r>
    </w:p>
    <w:p>
      <w:pPr>
        <w:snapToGrid w:val="0"/>
        <w:spacing w:line="360" w:lineRule="exact"/>
        <w:ind w:firstLine="211" w:firstLineChars="100"/>
        <w:rPr>
          <w:rFonts w:ascii="宋体" w:hAnsi="宋体" w:cs="Arial"/>
          <w:b/>
          <w:color w:val="000000"/>
          <w:szCs w:val="21"/>
        </w:rPr>
      </w:pPr>
      <w:r>
        <w:rPr>
          <w:rFonts w:hint="eastAsia" w:ascii="宋体" w:hAnsi="宋体" w:cs="Arial"/>
          <w:b/>
          <w:color w:val="000000"/>
        </w:rPr>
        <w:t>二、配置及技术要求说明：</w:t>
      </w:r>
    </w:p>
    <w:p>
      <w:pPr>
        <w:spacing w:line="360" w:lineRule="exact"/>
        <w:ind w:firstLine="420" w:firstLineChars="200"/>
        <w:rPr>
          <w:rFonts w:ascii="宋体" w:hAnsi="宋体" w:cs="等线"/>
          <w:bCs/>
          <w:color w:val="000000"/>
        </w:rPr>
      </w:pPr>
      <w:r>
        <w:rPr>
          <w:rFonts w:hint="eastAsia" w:ascii="宋体" w:hAnsi="宋体"/>
          <w:bCs/>
          <w:color w:val="000000"/>
        </w:rPr>
        <w:t>说明：本技术要求提出的是最低限度的技术条件。供应商应注意在技术要求中如果出现了参考品牌或规格型号，其</w:t>
      </w:r>
      <w:r>
        <w:rPr>
          <w:rFonts w:hint="eastAsia" w:ascii="宋体" w:hAnsi="宋体"/>
          <w:bCs/>
          <w:color w:val="000000"/>
          <w:lang w:eastAsia="zh-CN"/>
        </w:rPr>
        <w:t>目的是</w:t>
      </w:r>
      <w:r>
        <w:rPr>
          <w:rFonts w:hint="eastAsia" w:ascii="宋体" w:hAnsi="宋体"/>
          <w:bCs/>
          <w:color w:val="000000"/>
        </w:rPr>
        <w:t xml:space="preserve">方便供应商直观和准确地把握相应材料和设备的技术标准，不具指定或唯一的意思表示，供应商应当参考所列品牌的材料和设备，提供相当于或高于所列品牌技术标准的材料和设备。  </w:t>
      </w:r>
    </w:p>
    <w:p>
      <w:pPr>
        <w:spacing w:line="360" w:lineRule="exact"/>
        <w:ind w:firstLine="420" w:firstLineChars="200"/>
        <w:outlineLvl w:val="2"/>
        <w:rPr>
          <w:rFonts w:ascii="宋体" w:hAnsi="宋体"/>
          <w:color w:val="000000"/>
        </w:rPr>
      </w:pPr>
      <w:r>
        <w:rPr>
          <w:rFonts w:hint="eastAsia" w:ascii="宋体" w:hAnsi="宋体"/>
          <w:color w:val="000000"/>
        </w:rPr>
        <w:t>技术参数要求中凡标注“</w:t>
      </w:r>
      <w:r>
        <w:rPr>
          <w:rFonts w:hint="eastAsia" w:ascii="宋体" w:hAnsi="宋体"/>
          <w:color w:val="000000"/>
          <w:sz w:val="18"/>
          <w:szCs w:val="18"/>
        </w:rPr>
        <w:t>★</w:t>
      </w:r>
      <w:r>
        <w:rPr>
          <w:rFonts w:hint="eastAsia" w:ascii="宋体" w:hAnsi="宋体"/>
          <w:color w:val="000000"/>
        </w:rPr>
        <w:t>”号的条款或要求为关键指标的如有负偏离</w:t>
      </w:r>
      <w:r>
        <w:rPr>
          <w:rFonts w:hint="eastAsia" w:ascii="宋体" w:hAnsi="宋体"/>
          <w:color w:val="000000"/>
          <w:lang w:eastAsia="zh-CN"/>
        </w:rPr>
        <w:t>（</w:t>
      </w:r>
      <w:r>
        <w:rPr>
          <w:rFonts w:hint="eastAsia" w:ascii="宋体" w:hAnsi="宋体"/>
          <w:color w:val="000000"/>
        </w:rPr>
        <w:t>或未作响应</w:t>
      </w:r>
      <w:r>
        <w:rPr>
          <w:rFonts w:hint="eastAsia" w:ascii="宋体" w:hAnsi="宋体"/>
          <w:color w:val="000000"/>
          <w:lang w:eastAsia="zh-CN"/>
        </w:rPr>
        <w:t>）</w:t>
      </w:r>
      <w:r>
        <w:rPr>
          <w:rFonts w:hint="eastAsia" w:ascii="宋体" w:hAnsi="宋体"/>
          <w:color w:val="000000"/>
        </w:rPr>
        <w:t>的投标无效。标注“</w:t>
      </w:r>
      <w:r>
        <w:rPr>
          <w:rFonts w:hint="eastAsia" w:ascii="宋体" w:hAnsi="宋体"/>
          <w:color w:val="000000"/>
          <w:sz w:val="18"/>
          <w:szCs w:val="18"/>
        </w:rPr>
        <w:t>▲</w:t>
      </w:r>
      <w:r>
        <w:rPr>
          <w:rFonts w:hint="eastAsia" w:ascii="宋体" w:hAnsi="宋体"/>
          <w:color w:val="000000"/>
        </w:rPr>
        <w:t>”号的条款为重要指标</w:t>
      </w:r>
      <w:r>
        <w:rPr>
          <w:rFonts w:hint="eastAsia" w:ascii="宋体" w:hAnsi="宋体"/>
          <w:color w:val="000000"/>
          <w:lang w:eastAsia="zh-CN"/>
        </w:rPr>
        <w:t>，</w:t>
      </w:r>
      <w:r>
        <w:rPr>
          <w:rFonts w:hint="eastAsia" w:ascii="宋体" w:hAnsi="宋体"/>
          <w:color w:val="000000"/>
        </w:rPr>
        <w:t>有负偏离（或未作响应）达5项（含）以上的投标无效；未标注“</w:t>
      </w:r>
      <w:r>
        <w:rPr>
          <w:rFonts w:hint="eastAsia" w:ascii="宋体" w:hAnsi="宋体"/>
          <w:color w:val="000000"/>
          <w:sz w:val="18"/>
          <w:szCs w:val="18"/>
        </w:rPr>
        <w:t>★</w:t>
      </w:r>
      <w:r>
        <w:rPr>
          <w:rFonts w:hint="eastAsia" w:ascii="宋体" w:hAnsi="宋体"/>
          <w:color w:val="000000"/>
        </w:rPr>
        <w:t>”号和“▲”号的技术参数有负偏离（或未作响应）达8项（含）以上的投标无效。技术参数中需要提供的检测报告必须是国家或国际认可的合法检测机构出具</w:t>
      </w:r>
      <w:r>
        <w:rPr>
          <w:rFonts w:hint="eastAsia" w:ascii="宋体" w:hAnsi="宋体"/>
          <w:color w:val="000000"/>
          <w:lang w:eastAsia="zh-CN"/>
        </w:rPr>
        <w:t>（</w:t>
      </w:r>
      <w:r>
        <w:rPr>
          <w:rFonts w:hint="eastAsia" w:ascii="宋体" w:hAnsi="宋体"/>
          <w:color w:val="000000"/>
        </w:rPr>
        <w:t>CNAS或CMA或SGS等</w:t>
      </w:r>
      <w:r>
        <w:rPr>
          <w:rFonts w:hint="eastAsia" w:ascii="宋体" w:hAnsi="宋体"/>
          <w:color w:val="000000"/>
          <w:lang w:eastAsia="zh-CN"/>
        </w:rPr>
        <w:t>）</w:t>
      </w:r>
      <w:r>
        <w:rPr>
          <w:rFonts w:hint="eastAsia" w:ascii="宋体" w:hAnsi="宋体"/>
          <w:color w:val="000000"/>
        </w:rPr>
        <w:t>的正式文件</w:t>
      </w:r>
      <w:r>
        <w:rPr>
          <w:rFonts w:hint="eastAsia" w:ascii="宋体" w:hAnsi="宋体"/>
          <w:b/>
          <w:color w:val="000000"/>
        </w:rPr>
        <w:t>（投标时核对原件）</w:t>
      </w:r>
      <w:r>
        <w:rPr>
          <w:rFonts w:hint="eastAsia" w:ascii="宋体" w:hAnsi="宋体"/>
          <w:color w:val="000000"/>
        </w:rPr>
        <w:t>，采购人将根据招标文件技术要求在产品安装过程中委派设备监理工程师或采购人亲自到工地现场进行不定期抽检。</w:t>
      </w:r>
    </w:p>
    <w:p>
      <w:pPr>
        <w:spacing w:line="360" w:lineRule="exact"/>
        <w:rPr>
          <w:rFonts w:ascii="宋体" w:hAnsi="宋体"/>
        </w:rPr>
      </w:pPr>
      <w:r>
        <w:rPr>
          <w:rFonts w:hint="eastAsia" w:ascii="宋体" w:hAnsi="宋体"/>
          <w:b/>
        </w:rPr>
        <w:t>1.产品符合标准（以下标准规范如有更新替代，按最新的执行）</w:t>
      </w:r>
      <w:r>
        <w:rPr>
          <w:rFonts w:hint="eastAsia" w:ascii="宋体" w:hAnsi="宋体"/>
        </w:rPr>
        <w:t>：</w:t>
      </w:r>
    </w:p>
    <w:p>
      <w:pPr>
        <w:spacing w:line="360" w:lineRule="exact"/>
        <w:ind w:firstLine="420" w:firstLineChars="200"/>
        <w:rPr>
          <w:rFonts w:ascii="宋体" w:hAnsi="宋体"/>
        </w:rPr>
      </w:pPr>
      <w:r>
        <w:rPr>
          <w:rFonts w:hint="eastAsia" w:ascii="宋体" w:hAnsi="宋体"/>
        </w:rPr>
        <w:t>1.1.《科研建筑设计标准》 JGJ91-2019；</w:t>
      </w:r>
    </w:p>
    <w:p>
      <w:pPr>
        <w:spacing w:line="360" w:lineRule="exact"/>
        <w:ind w:firstLine="420" w:firstLineChars="200"/>
        <w:rPr>
          <w:rFonts w:ascii="宋体" w:hAnsi="宋体"/>
        </w:rPr>
      </w:pPr>
      <w:r>
        <w:rPr>
          <w:rFonts w:hint="eastAsia" w:ascii="宋体" w:hAnsi="宋体"/>
        </w:rPr>
        <w:t>1.2.《大气污染物综合排放标准》（GB16297-1996）；</w:t>
      </w:r>
    </w:p>
    <w:p>
      <w:pPr>
        <w:spacing w:line="360" w:lineRule="exact"/>
        <w:ind w:firstLine="420" w:firstLineChars="200"/>
        <w:rPr>
          <w:rFonts w:ascii="宋体" w:hAnsi="宋体"/>
        </w:rPr>
      </w:pPr>
      <w:r>
        <w:rPr>
          <w:rFonts w:hint="eastAsia" w:ascii="宋体" w:hAnsi="宋体"/>
        </w:rPr>
        <w:t>1.3.《风机、压缩机、泵安装工程施工及验收规范》GB 50275-2010；</w:t>
      </w:r>
    </w:p>
    <w:p>
      <w:pPr>
        <w:spacing w:line="360" w:lineRule="exact"/>
        <w:ind w:firstLine="420" w:firstLineChars="200"/>
        <w:rPr>
          <w:rFonts w:ascii="宋体" w:hAnsi="宋体"/>
        </w:rPr>
      </w:pPr>
      <w:r>
        <w:rPr>
          <w:rFonts w:hint="eastAsia" w:ascii="宋体" w:hAnsi="宋体"/>
        </w:rPr>
        <w:t>1.4.《</w:t>
      </w:r>
      <w:r>
        <w:fldChar w:fldCharType="begin"/>
      </w:r>
      <w:r>
        <w:instrText xml:space="preserve"> HYPERLINK "http://mp.weixin.qq.com/s?src=11&amp;timestamp=1676271357&amp;ver=4347&amp;signature=RlepRkeG2Bic0iad2Wyo3S7F0tQzfdPPkzjw*fshGNwV2pJghKzbtlw4A32-QqqO7llXMgbocbUYxVF6bR030HmpGxPW-wnrc3ZTVbuRn2PtP0-7UvMP-6yLatFkAzvm&amp;new=1" </w:instrText>
      </w:r>
      <w:r>
        <w:fldChar w:fldCharType="separate"/>
      </w:r>
      <w:r>
        <w:rPr>
          <w:rFonts w:hint="eastAsia"/>
        </w:rPr>
        <w:t>建筑设计防火规范》  GB50016-2014</w:t>
      </w:r>
      <w:r>
        <w:rPr>
          <w:rFonts w:hint="eastAsia"/>
          <w:lang w:eastAsia="zh-CN"/>
        </w:rPr>
        <w:t>（</w:t>
      </w:r>
      <w:r>
        <w:rPr>
          <w:rFonts w:hint="eastAsia"/>
        </w:rPr>
        <w:t>2018年版</w:t>
      </w:r>
      <w:r>
        <w:rPr>
          <w:rFonts w:hint="eastAsia"/>
          <w:lang w:eastAsia="zh-CN"/>
        </w:rPr>
        <w:t>）</w:t>
      </w:r>
      <w:r>
        <w:rPr>
          <w:rFonts w:hint="eastAsia"/>
        </w:rPr>
        <w:fldChar w:fldCharType="end"/>
      </w:r>
      <w:r>
        <w:rPr>
          <w:rFonts w:hint="eastAsia" w:ascii="宋体" w:hAnsi="宋体"/>
        </w:rPr>
        <w:t>；</w:t>
      </w:r>
    </w:p>
    <w:p>
      <w:pPr>
        <w:spacing w:line="360" w:lineRule="exact"/>
        <w:ind w:firstLine="420" w:firstLineChars="200"/>
        <w:rPr>
          <w:rFonts w:ascii="宋体" w:hAnsi="宋体"/>
        </w:rPr>
      </w:pPr>
      <w:r>
        <w:rPr>
          <w:rFonts w:hint="eastAsia" w:ascii="宋体" w:hAnsi="宋体"/>
        </w:rPr>
        <w:t>1.5.《通风管道技术规程》JGJT 141-2017 ；</w:t>
      </w:r>
    </w:p>
    <w:p>
      <w:pPr>
        <w:spacing w:line="360" w:lineRule="exact"/>
        <w:ind w:firstLine="420" w:firstLineChars="200"/>
        <w:rPr>
          <w:rFonts w:ascii="宋体" w:hAnsi="宋体"/>
        </w:rPr>
      </w:pPr>
      <w:r>
        <w:rPr>
          <w:rFonts w:hint="eastAsia" w:ascii="宋体" w:hAnsi="宋体"/>
        </w:rPr>
        <w:t>1.6.《通风与空调工程施工质量验收规范》GB 50243-2016；</w:t>
      </w:r>
    </w:p>
    <w:p>
      <w:pPr>
        <w:spacing w:line="360" w:lineRule="exact"/>
        <w:ind w:firstLine="420" w:firstLineChars="200"/>
      </w:pPr>
      <w:r>
        <w:rPr>
          <w:rFonts w:hint="eastAsia" w:ascii="宋体" w:hAnsi="宋体"/>
        </w:rPr>
        <w:t>1.7.《环境空气质量标准》（GB3095-2012）；</w:t>
      </w:r>
    </w:p>
    <w:p>
      <w:pPr>
        <w:spacing w:line="340" w:lineRule="exact"/>
        <w:ind w:firstLine="420" w:firstLineChars="200"/>
        <w:rPr>
          <w:rFonts w:ascii="宋体" w:hAnsi="宋体"/>
        </w:rPr>
      </w:pPr>
      <w:r>
        <w:rPr>
          <w:rFonts w:hint="eastAsia" w:ascii="宋体" w:hAnsi="宋体"/>
        </w:rPr>
        <w:t>1.8.《</w:t>
      </w:r>
      <w:r>
        <w:rPr>
          <w:rFonts w:hint="eastAsia" w:ascii="宋体" w:hAnsi="宋体"/>
          <w:color w:val="000000"/>
        </w:rPr>
        <w:t>中华人民共和国环境保护法</w:t>
      </w:r>
      <w:r>
        <w:rPr>
          <w:rFonts w:hint="eastAsia" w:ascii="宋体" w:hAnsi="宋体"/>
        </w:rPr>
        <w:t>》。</w:t>
      </w:r>
    </w:p>
    <w:p>
      <w:pPr>
        <w:spacing w:line="380" w:lineRule="exact"/>
        <w:rPr>
          <w:rFonts w:ascii="宋体" w:hAnsi="宋体"/>
          <w:b/>
        </w:rPr>
      </w:pPr>
      <w:r>
        <w:rPr>
          <w:rFonts w:hint="eastAsia" w:ascii="宋体" w:hAnsi="宋体"/>
          <w:b/>
        </w:rPr>
        <w:t>2.技术参数要求：</w:t>
      </w:r>
    </w:p>
    <w:p>
      <w:pPr>
        <w:spacing w:line="360" w:lineRule="exact"/>
        <w:ind w:firstLine="422" w:firstLineChars="200"/>
        <w:outlineLvl w:val="2"/>
        <w:rPr>
          <w:rFonts w:ascii="宋体" w:hAnsi="宋体"/>
          <w:b/>
        </w:rPr>
      </w:pPr>
      <w:r>
        <w:rPr>
          <w:rFonts w:hint="eastAsia" w:ascii="宋体" w:hAnsi="宋体"/>
          <w:b/>
        </w:rPr>
        <w:t>2.1.设备基础</w:t>
      </w:r>
      <w:r>
        <w:rPr>
          <w:rFonts w:hint="eastAsia" w:ascii="宋体" w:hAnsi="宋体"/>
          <w:b/>
          <w:lang w:eastAsia="zh-CN"/>
        </w:rPr>
        <w:t>（</w:t>
      </w:r>
      <w:r>
        <w:rPr>
          <w:rFonts w:hint="eastAsia" w:ascii="宋体" w:hAnsi="宋体"/>
          <w:b/>
        </w:rPr>
        <w:t>热镀锌工字钢</w:t>
      </w:r>
      <w:r>
        <w:rPr>
          <w:rFonts w:hint="eastAsia" w:ascii="宋体" w:hAnsi="宋体"/>
          <w:b/>
          <w:lang w:eastAsia="zh-CN"/>
        </w:rPr>
        <w:t>）</w:t>
      </w:r>
      <w:r>
        <w:rPr>
          <w:rFonts w:hint="eastAsia" w:ascii="宋体" w:hAnsi="宋体"/>
          <w:b/>
        </w:rPr>
        <w:t>：</w:t>
      </w:r>
    </w:p>
    <w:p>
      <w:pPr>
        <w:spacing w:line="360" w:lineRule="exact"/>
        <w:ind w:firstLine="420" w:firstLineChars="200"/>
        <w:rPr>
          <w:rFonts w:ascii="宋体" w:hAnsi="宋体"/>
        </w:rPr>
      </w:pPr>
      <w:r>
        <w:rPr>
          <w:rFonts w:hint="eastAsia" w:ascii="宋体" w:hAnsi="宋体"/>
        </w:rPr>
        <w:t>2.1.1采用型号为Q235(180*94mm)</w:t>
      </w:r>
      <w:r>
        <w:rPr>
          <w:rFonts w:hint="eastAsia" w:ascii="宋体" w:hAnsi="宋体"/>
          <w:lang w:eastAsia="zh-CN"/>
        </w:rPr>
        <w:t>，</w:t>
      </w:r>
      <w:r>
        <w:rPr>
          <w:rFonts w:hint="eastAsia" w:ascii="宋体" w:hAnsi="宋体"/>
        </w:rPr>
        <w:t>在热镀锌工字钢表层先刷防腐漆</w:t>
      </w:r>
      <w:r>
        <w:rPr>
          <w:rFonts w:hint="eastAsia" w:ascii="宋体" w:hAnsi="宋体"/>
          <w:lang w:eastAsia="zh-CN"/>
        </w:rPr>
        <w:t>，</w:t>
      </w:r>
      <w:r>
        <w:rPr>
          <w:rFonts w:hint="eastAsia" w:ascii="宋体" w:hAnsi="宋体"/>
        </w:rPr>
        <w:t>后刷灰色面漆</w:t>
      </w:r>
      <w:r>
        <w:rPr>
          <w:rFonts w:hint="eastAsia" w:ascii="宋体" w:hAnsi="宋体"/>
          <w:lang w:eastAsia="zh-CN"/>
        </w:rPr>
        <w:t>，</w:t>
      </w:r>
      <w:r>
        <w:rPr>
          <w:rFonts w:hint="eastAsia" w:ascii="宋体" w:hAnsi="宋体"/>
        </w:rPr>
        <w:t>经过两层油漆涂刷后</w:t>
      </w:r>
      <w:r>
        <w:rPr>
          <w:rFonts w:hint="eastAsia" w:ascii="宋体" w:hAnsi="宋体"/>
          <w:lang w:eastAsia="zh-CN"/>
        </w:rPr>
        <w:t>，</w:t>
      </w:r>
      <w:r>
        <w:rPr>
          <w:rFonts w:hint="eastAsia" w:ascii="宋体" w:hAnsi="宋体"/>
        </w:rPr>
        <w:t>待油漆晒干后</w:t>
      </w:r>
      <w:r>
        <w:rPr>
          <w:rFonts w:hint="eastAsia" w:ascii="宋体" w:hAnsi="宋体"/>
          <w:lang w:eastAsia="zh-CN"/>
        </w:rPr>
        <w:t>，</w:t>
      </w:r>
      <w:r>
        <w:rPr>
          <w:rFonts w:hint="eastAsia" w:ascii="宋体" w:hAnsi="宋体"/>
        </w:rPr>
        <w:t>将18号热镀锌工字钢与提前预埋好的预埋钢板焊接</w:t>
      </w:r>
      <w:r>
        <w:rPr>
          <w:rFonts w:hint="eastAsia" w:ascii="宋体" w:hAnsi="宋体"/>
          <w:lang w:eastAsia="zh-CN"/>
        </w:rPr>
        <w:t>，</w:t>
      </w:r>
      <w:r>
        <w:rPr>
          <w:rFonts w:hint="eastAsia" w:ascii="宋体" w:hAnsi="宋体"/>
        </w:rPr>
        <w:t>热镀锌工字钢两边焊接尺寸应超过预埋钢板中心位置。热镀锌工字钢焊接部位先打磨除锈处理，表层涂装钢结构专用防腐防锈漆；</w:t>
      </w:r>
    </w:p>
    <w:p>
      <w:pPr>
        <w:spacing w:line="360" w:lineRule="exact"/>
        <w:ind w:firstLine="420" w:firstLineChars="200"/>
        <w:rPr>
          <w:rFonts w:ascii="宋体" w:hAnsi="宋体"/>
        </w:rPr>
      </w:pPr>
      <w:r>
        <w:rPr>
          <w:rFonts w:hint="eastAsia" w:ascii="宋体" w:hAnsi="宋体"/>
        </w:rPr>
        <w:t>2.1.2</w:t>
      </w:r>
      <w:r>
        <w:rPr>
          <w:rFonts w:hint="eastAsia" w:ascii="宋体" w:hAnsi="宋体"/>
          <w:sz w:val="18"/>
          <w:szCs w:val="18"/>
        </w:rPr>
        <w:t>▲</w:t>
      </w:r>
      <w:r>
        <w:rPr>
          <w:rFonts w:hint="eastAsia" w:ascii="宋体" w:hAnsi="宋体"/>
        </w:rPr>
        <w:t>满足楼顶结构及设备荷载的热镀锌工字钢设备基础，应具备结构计算书</w:t>
      </w:r>
      <w:r>
        <w:rPr>
          <w:rFonts w:hint="eastAsia" w:ascii="宋体" w:hAnsi="宋体"/>
          <w:lang w:eastAsia="zh-CN"/>
        </w:rPr>
        <w:t>（</w:t>
      </w:r>
      <w:r>
        <w:rPr>
          <w:rFonts w:hint="eastAsia" w:ascii="宋体" w:hAnsi="宋体"/>
        </w:rPr>
        <w:t>包含计算依据、图纸几何信息、荷载安全系数、内力位移计算结果、设计验算结果等</w:t>
      </w:r>
      <w:r>
        <w:rPr>
          <w:rFonts w:hint="eastAsia" w:ascii="宋体" w:hAnsi="宋体"/>
          <w:lang w:eastAsia="zh-CN"/>
        </w:rPr>
        <w:t>）</w:t>
      </w:r>
      <w:r>
        <w:rPr>
          <w:rFonts w:hint="eastAsia" w:ascii="宋体" w:hAnsi="宋体"/>
        </w:rPr>
        <w:t>。</w:t>
      </w:r>
    </w:p>
    <w:p>
      <w:pPr>
        <w:spacing w:line="360" w:lineRule="exact"/>
        <w:ind w:firstLine="422" w:firstLineChars="200"/>
        <w:outlineLvl w:val="2"/>
        <w:rPr>
          <w:rFonts w:ascii="宋体" w:hAnsi="宋体"/>
          <w:b/>
          <w:color w:val="000000"/>
        </w:rPr>
      </w:pPr>
      <w:r>
        <w:rPr>
          <w:rFonts w:hint="eastAsia" w:ascii="宋体" w:hAnsi="宋体"/>
          <w:b/>
          <w:color w:val="000000"/>
        </w:rPr>
        <w:t>2.2.玻璃钢变频离心风机:</w:t>
      </w:r>
    </w:p>
    <w:p>
      <w:pPr>
        <w:spacing w:line="360" w:lineRule="exact"/>
        <w:ind w:firstLine="420" w:firstLineChars="200"/>
        <w:rPr>
          <w:rFonts w:ascii="宋体" w:hAnsi="宋体"/>
        </w:rPr>
      </w:pPr>
      <w:r>
        <w:rPr>
          <w:rFonts w:hint="eastAsia" w:ascii="宋体" w:hAnsi="宋体"/>
        </w:rPr>
        <w:t>2.2.1风量风压需满足设计风量风压</w:t>
      </w:r>
      <w:r>
        <w:rPr>
          <w:rFonts w:hint="eastAsia" w:ascii="宋体" w:hAnsi="宋体"/>
          <w:lang w:eastAsia="zh-CN"/>
        </w:rPr>
        <w:t>，</w:t>
      </w:r>
      <w:r>
        <w:rPr>
          <w:rFonts w:hint="eastAsia" w:ascii="宋体" w:hAnsi="宋体"/>
        </w:rPr>
        <w:t>且为正偏差</w:t>
      </w:r>
      <w:r>
        <w:rPr>
          <w:rFonts w:hint="eastAsia" w:ascii="宋体" w:hAnsi="宋体"/>
          <w:lang w:eastAsia="zh-CN"/>
        </w:rPr>
        <w:t>，</w:t>
      </w:r>
      <w:r>
        <w:rPr>
          <w:rFonts w:hint="eastAsia" w:ascii="宋体" w:hAnsi="宋体"/>
        </w:rPr>
        <w:t>偏差范围不超过3%；</w:t>
      </w:r>
    </w:p>
    <w:p>
      <w:pPr>
        <w:spacing w:line="360" w:lineRule="exact"/>
        <w:ind w:firstLine="420" w:firstLineChars="200"/>
        <w:rPr>
          <w:rFonts w:ascii="宋体" w:hAnsi="宋体"/>
        </w:rPr>
      </w:pPr>
      <w:r>
        <w:rPr>
          <w:rFonts w:hint="eastAsia" w:ascii="宋体" w:hAnsi="宋体"/>
        </w:rPr>
        <w:t>2.2.2风机采用具有耐酸碱的防腐玻璃钢变频离心风机</w:t>
      </w:r>
      <w:r>
        <w:rPr>
          <w:rFonts w:hint="eastAsia" w:ascii="宋体" w:hAnsi="宋体"/>
          <w:lang w:eastAsia="zh-CN"/>
        </w:rPr>
        <w:t>，</w:t>
      </w:r>
      <w:r>
        <w:rPr>
          <w:rFonts w:hint="eastAsia" w:ascii="宋体" w:hAnsi="宋体"/>
        </w:rPr>
        <w:t>采用高效节能产品</w:t>
      </w:r>
      <w:r>
        <w:rPr>
          <w:rFonts w:hint="eastAsia" w:ascii="宋体" w:hAnsi="宋体"/>
          <w:lang w:eastAsia="zh-CN"/>
        </w:rPr>
        <w:t>（</w:t>
      </w:r>
      <w:r>
        <w:rPr>
          <w:rFonts w:hint="eastAsia" w:ascii="宋体" w:hAnsi="宋体"/>
        </w:rPr>
        <w:t>一级能效</w:t>
      </w:r>
      <w:r>
        <w:rPr>
          <w:rFonts w:hint="eastAsia" w:ascii="宋体" w:hAnsi="宋体"/>
          <w:lang w:eastAsia="zh-CN"/>
        </w:rPr>
        <w:t>），</w:t>
      </w:r>
      <w:r>
        <w:rPr>
          <w:rFonts w:hint="eastAsia" w:ascii="宋体" w:hAnsi="宋体"/>
        </w:rPr>
        <w:t>风机设计运行工况在高效率区</w:t>
      </w:r>
      <w:r>
        <w:rPr>
          <w:rFonts w:hint="eastAsia" w:ascii="宋体" w:hAnsi="宋体"/>
          <w:lang w:eastAsia="zh-CN"/>
        </w:rPr>
        <w:t>，</w:t>
      </w:r>
      <w:r>
        <w:rPr>
          <w:rFonts w:hint="eastAsia" w:ascii="宋体" w:hAnsi="宋体"/>
        </w:rPr>
        <w:t>风机在小流量区能做到不喘振；</w:t>
      </w:r>
    </w:p>
    <w:p>
      <w:pPr>
        <w:spacing w:line="360" w:lineRule="exact"/>
        <w:ind w:firstLine="420" w:firstLineChars="200"/>
        <w:rPr>
          <w:rFonts w:ascii="宋体" w:hAnsi="宋体"/>
        </w:rPr>
      </w:pPr>
      <w:r>
        <w:rPr>
          <w:rFonts w:hint="eastAsia" w:ascii="宋体" w:hAnsi="宋体"/>
        </w:rPr>
        <w:t>2.2.3外壳及叶轮材质:FRP耐酸碱VinylEster</w:t>
      </w:r>
      <w:r>
        <w:rPr>
          <w:rFonts w:hint="eastAsia" w:ascii="宋体" w:hAnsi="宋体"/>
          <w:lang w:eastAsia="zh-CN"/>
        </w:rPr>
        <w:t>（</w:t>
      </w:r>
      <w:r>
        <w:rPr>
          <w:rFonts w:hint="eastAsia" w:ascii="宋体" w:hAnsi="宋体"/>
        </w:rPr>
        <w:t>乙烯基脂树脂+无碱玻璃纤维</w:t>
      </w:r>
      <w:r>
        <w:rPr>
          <w:rFonts w:hint="eastAsia" w:ascii="宋体" w:hAnsi="宋体"/>
          <w:lang w:eastAsia="zh-CN"/>
        </w:rPr>
        <w:t>）</w:t>
      </w:r>
      <w:r>
        <w:rPr>
          <w:rFonts w:hint="eastAsia" w:ascii="宋体" w:hAnsi="宋体"/>
        </w:rPr>
        <w:t>。风机叶轮为悬臂闭式后倾离心式结构</w:t>
      </w:r>
      <w:r>
        <w:rPr>
          <w:rFonts w:hint="eastAsia" w:ascii="宋体" w:hAnsi="宋体"/>
          <w:lang w:eastAsia="zh-CN"/>
        </w:rPr>
        <w:t>，</w:t>
      </w:r>
      <w:r>
        <w:rPr>
          <w:rFonts w:hint="eastAsia" w:ascii="宋体" w:hAnsi="宋体"/>
        </w:rPr>
        <w:t>为防止有毒有害气体泄漏</w:t>
      </w:r>
      <w:r>
        <w:rPr>
          <w:rFonts w:hint="eastAsia" w:ascii="宋体" w:hAnsi="宋体"/>
          <w:lang w:eastAsia="zh-CN"/>
        </w:rPr>
        <w:t>，</w:t>
      </w:r>
      <w:r>
        <w:rPr>
          <w:rFonts w:hint="eastAsia" w:ascii="宋体" w:hAnsi="宋体"/>
        </w:rPr>
        <w:t>风机轴封处需采用石墨盘根密封</w:t>
      </w:r>
      <w:r>
        <w:rPr>
          <w:rFonts w:hint="eastAsia" w:ascii="宋体" w:hAnsi="宋体"/>
          <w:lang w:eastAsia="zh-CN"/>
        </w:rPr>
        <w:t>，</w:t>
      </w:r>
      <w:r>
        <w:rPr>
          <w:rFonts w:hint="eastAsia" w:ascii="宋体" w:hAnsi="宋体"/>
        </w:rPr>
        <w:t>传动方式为皮带式；</w:t>
      </w:r>
    </w:p>
    <w:p>
      <w:pPr>
        <w:spacing w:line="360" w:lineRule="exact"/>
        <w:ind w:firstLine="420" w:firstLineChars="200"/>
        <w:rPr>
          <w:rFonts w:ascii="宋体" w:hAnsi="宋体"/>
        </w:rPr>
      </w:pPr>
      <w:r>
        <w:rPr>
          <w:rFonts w:hint="eastAsia" w:ascii="宋体" w:hAnsi="宋体"/>
        </w:rPr>
        <w:t>2.2.4风机轴心材质:S45C</w:t>
      </w:r>
      <w:r>
        <w:rPr>
          <w:rFonts w:hint="eastAsia" w:ascii="宋体" w:hAnsi="宋体"/>
          <w:lang w:eastAsia="zh-CN"/>
        </w:rPr>
        <w:t>（</w:t>
      </w:r>
      <w:r>
        <w:rPr>
          <w:rFonts w:hint="eastAsia" w:ascii="宋体" w:hAnsi="宋体"/>
        </w:rPr>
        <w:t>玻璃钢包覆或环氧树脂喷涂</w:t>
      </w:r>
      <w:r>
        <w:rPr>
          <w:rFonts w:hint="eastAsia" w:ascii="宋体" w:hAnsi="宋体"/>
          <w:lang w:eastAsia="zh-CN"/>
        </w:rPr>
        <w:t>），</w:t>
      </w:r>
      <w:r>
        <w:rPr>
          <w:rFonts w:hint="eastAsia" w:ascii="宋体" w:hAnsi="宋体"/>
        </w:rPr>
        <w:t>机架材质:SS41+EPOXY</w:t>
      </w:r>
      <w:r>
        <w:rPr>
          <w:rFonts w:hint="eastAsia" w:ascii="宋体" w:hAnsi="宋体"/>
          <w:lang w:eastAsia="zh-CN"/>
        </w:rPr>
        <w:t>（</w:t>
      </w:r>
      <w:r>
        <w:rPr>
          <w:rFonts w:hint="eastAsia" w:ascii="宋体" w:hAnsi="宋体"/>
        </w:rPr>
        <w:t>环氧树脂喷涂</w:t>
      </w:r>
      <w:r>
        <w:rPr>
          <w:rFonts w:hint="eastAsia" w:ascii="宋体" w:hAnsi="宋体"/>
          <w:lang w:eastAsia="zh-CN"/>
        </w:rPr>
        <w:t>），</w:t>
      </w:r>
      <w:r>
        <w:rPr>
          <w:rFonts w:hint="eastAsia" w:ascii="宋体" w:hAnsi="宋体"/>
        </w:rPr>
        <w:t>所有紧固件需采用SUS316作预埋防止腐蚀</w:t>
      </w:r>
      <w:r>
        <w:rPr>
          <w:rFonts w:hint="eastAsia" w:ascii="宋体" w:hAnsi="宋体"/>
          <w:lang w:eastAsia="zh-CN"/>
        </w:rPr>
        <w:t>，</w:t>
      </w:r>
      <w:r>
        <w:rPr>
          <w:rFonts w:hint="eastAsia" w:ascii="宋体" w:hAnsi="宋体"/>
        </w:rPr>
        <w:t>外部裸露部分需采用帽套结构</w:t>
      </w:r>
      <w:r>
        <w:rPr>
          <w:rFonts w:hint="eastAsia" w:ascii="宋体" w:hAnsi="宋体"/>
          <w:lang w:eastAsia="zh-CN"/>
        </w:rPr>
        <w:t>（</w:t>
      </w:r>
      <w:r>
        <w:rPr>
          <w:rFonts w:hint="eastAsia" w:ascii="宋体" w:hAnsi="宋体"/>
        </w:rPr>
        <w:t>避免松动</w:t>
      </w:r>
      <w:r>
        <w:rPr>
          <w:rFonts w:hint="eastAsia" w:ascii="宋体" w:hAnsi="宋体"/>
          <w:lang w:eastAsia="zh-CN"/>
        </w:rPr>
        <w:t>）</w:t>
      </w:r>
      <w:r>
        <w:rPr>
          <w:rFonts w:hint="eastAsia" w:ascii="宋体" w:hAnsi="宋体"/>
        </w:rPr>
        <w:t>；</w:t>
      </w:r>
    </w:p>
    <w:p>
      <w:pPr>
        <w:spacing w:line="360" w:lineRule="exact"/>
        <w:ind w:firstLine="420" w:firstLineChars="200"/>
        <w:rPr>
          <w:rFonts w:ascii="宋体" w:hAnsi="宋体"/>
        </w:rPr>
      </w:pPr>
      <w:r>
        <w:rPr>
          <w:rFonts w:hint="eastAsia" w:ascii="宋体" w:hAnsi="宋体"/>
        </w:rPr>
        <w:t>2.2.5转子动平衡等级:符合ISO1940规范之2.5mm/s等级</w:t>
      </w:r>
      <w:r>
        <w:rPr>
          <w:rFonts w:hint="eastAsia" w:ascii="宋体" w:hAnsi="宋体"/>
          <w:lang w:eastAsia="zh-CN"/>
        </w:rPr>
        <w:t>，</w:t>
      </w:r>
      <w:r>
        <w:rPr>
          <w:rFonts w:hint="eastAsia" w:ascii="宋体" w:hAnsi="宋体"/>
        </w:rPr>
        <w:t>风机叶轮的动力平衡精度不低于G2.5级</w:t>
      </w:r>
      <w:r>
        <w:rPr>
          <w:rFonts w:hint="eastAsia" w:ascii="宋体" w:hAnsi="宋体"/>
          <w:lang w:eastAsia="zh-CN"/>
        </w:rPr>
        <w:t>，</w:t>
      </w:r>
      <w:r>
        <w:rPr>
          <w:rFonts w:hint="eastAsia" w:ascii="宋体" w:hAnsi="宋体"/>
        </w:rPr>
        <w:t>且能24 小时连续运转；</w:t>
      </w:r>
    </w:p>
    <w:p>
      <w:pPr>
        <w:spacing w:line="360" w:lineRule="exact"/>
        <w:ind w:firstLine="420" w:firstLineChars="200"/>
        <w:rPr>
          <w:rFonts w:ascii="宋体" w:hAnsi="宋体"/>
        </w:rPr>
      </w:pPr>
      <w:r>
        <w:rPr>
          <w:rFonts w:hint="eastAsia" w:ascii="宋体" w:hAnsi="宋体"/>
        </w:rPr>
        <w:t>2.2.6机组振动等级:符合ISO2372规范之4.5mm/s等级</w:t>
      </w:r>
      <w:r>
        <w:rPr>
          <w:rFonts w:hint="eastAsia" w:ascii="宋体" w:hAnsi="宋体"/>
          <w:lang w:eastAsia="zh-CN"/>
        </w:rPr>
        <w:t>，</w:t>
      </w:r>
      <w:r>
        <w:rPr>
          <w:rFonts w:hint="eastAsia" w:ascii="宋体" w:hAnsi="宋体"/>
        </w:rPr>
        <w:t>风机安装后运行时的机组振动应符合JB/T 8689- 2014排风机振动限值要求规范之4.5mm/s等级，其中风机轴承座振动≤2.5mm/s、电机振动≤4.5mm/s；</w:t>
      </w:r>
    </w:p>
    <w:p>
      <w:pPr>
        <w:spacing w:line="360" w:lineRule="exact"/>
        <w:ind w:firstLine="420" w:firstLineChars="200"/>
      </w:pPr>
      <w:r>
        <w:rPr>
          <w:rFonts w:hint="eastAsia" w:ascii="宋体" w:hAnsi="宋体"/>
        </w:rPr>
        <w:t>2.2.7电机出厂之日起提供三年的质保期，电机需符合GB_18613-2012 电动机能效限定值及能效等级中所规定的IE2能效标准，电源380V、3相、50HZ、IP55、F级绝缘、B级温升考核，电机表面油漆亮度为半亚光，漆膜厚度60-115；</w:t>
      </w:r>
    </w:p>
    <w:p>
      <w:pPr>
        <w:spacing w:line="360" w:lineRule="exact"/>
        <w:ind w:firstLine="420" w:firstLineChars="200"/>
        <w:rPr>
          <w:rFonts w:ascii="宋体" w:hAnsi="宋体"/>
        </w:rPr>
      </w:pPr>
      <w:r>
        <w:rPr>
          <w:rFonts w:hint="eastAsia" w:ascii="宋体" w:hAnsi="宋体"/>
        </w:rPr>
        <w:t>2.2.8噪声要求:风机采用良好的设计、精密的加工、精细的装配</w:t>
      </w:r>
      <w:r>
        <w:rPr>
          <w:rFonts w:hint="eastAsia" w:ascii="宋体" w:hAnsi="宋体"/>
          <w:lang w:eastAsia="zh-CN"/>
        </w:rPr>
        <w:t>，</w:t>
      </w:r>
      <w:r>
        <w:rPr>
          <w:rFonts w:hint="eastAsia" w:ascii="宋体" w:hAnsi="宋体"/>
        </w:rPr>
        <w:t>以使风机具有良好的噪音性能，噪音按照国家相关标准执行；</w:t>
      </w:r>
    </w:p>
    <w:p>
      <w:pPr>
        <w:spacing w:line="360" w:lineRule="exact"/>
        <w:ind w:firstLine="420" w:firstLineChars="200"/>
        <w:rPr>
          <w:rFonts w:ascii="宋体" w:hAnsi="宋体"/>
        </w:rPr>
      </w:pPr>
      <w:r>
        <w:rPr>
          <w:rFonts w:hint="eastAsia" w:ascii="宋体" w:hAnsi="宋体"/>
        </w:rPr>
        <w:t>2.2.9玻璃钢离心风机技术参数满足以下所有指标:</w:t>
      </w:r>
    </w:p>
    <w:p>
      <w:pPr>
        <w:spacing w:line="360" w:lineRule="exact"/>
        <w:ind w:firstLine="420" w:firstLineChars="200"/>
        <w:rPr>
          <w:rFonts w:ascii="宋体" w:hAnsi="宋体"/>
        </w:rPr>
      </w:pPr>
      <w:r>
        <w:rPr>
          <w:rFonts w:hint="eastAsia" w:ascii="宋体" w:hAnsi="宋体"/>
        </w:rPr>
        <w:t>(1)</w:t>
      </w:r>
      <w:r>
        <w:rPr>
          <w:rFonts w:hint="eastAsia" w:ascii="宋体" w:hAnsi="宋体"/>
          <w:sz w:val="18"/>
          <w:szCs w:val="18"/>
        </w:rPr>
        <w:t>★</w:t>
      </w:r>
      <w:r>
        <w:rPr>
          <w:rFonts w:hint="eastAsia" w:ascii="宋体" w:hAnsi="宋体"/>
        </w:rPr>
        <w:t>提供国家认可的第三方检测机构出具的一级能效检测报告</w:t>
      </w:r>
      <w:r>
        <w:rPr>
          <w:rFonts w:hint="eastAsia" w:ascii="宋体" w:hAnsi="宋体"/>
          <w:lang w:eastAsia="zh-CN"/>
        </w:rPr>
        <w:t>（</w:t>
      </w:r>
      <w:r>
        <w:rPr>
          <w:rFonts w:hint="eastAsia" w:ascii="宋体" w:hAnsi="宋体"/>
        </w:rPr>
        <w:t>提供检测报告复印件并加盖生产厂家公章</w:t>
      </w:r>
      <w:r>
        <w:rPr>
          <w:rFonts w:hint="eastAsia" w:ascii="宋体" w:hAnsi="宋体"/>
          <w:lang w:eastAsia="zh-CN"/>
        </w:rPr>
        <w:t>）</w:t>
      </w:r>
      <w:r>
        <w:rPr>
          <w:rFonts w:hint="eastAsia" w:ascii="宋体" w:hAnsi="宋体"/>
        </w:rPr>
        <w:t>；</w:t>
      </w:r>
    </w:p>
    <w:p>
      <w:pPr>
        <w:spacing w:line="360" w:lineRule="exact"/>
        <w:ind w:firstLine="420" w:firstLineChars="200"/>
        <w:rPr>
          <w:rFonts w:ascii="宋体" w:hAnsi="宋体"/>
        </w:rPr>
      </w:pPr>
      <w:r>
        <w:rPr>
          <w:rFonts w:hint="eastAsia" w:ascii="宋体" w:hAnsi="宋体"/>
        </w:rPr>
        <w:t>(2)</w:t>
      </w:r>
      <w:r>
        <w:rPr>
          <w:rFonts w:hint="eastAsia" w:ascii="宋体" w:hAnsi="宋体"/>
          <w:sz w:val="18"/>
          <w:szCs w:val="18"/>
        </w:rPr>
        <w:t>▲</w:t>
      </w:r>
      <w:r>
        <w:rPr>
          <w:rFonts w:hint="eastAsia" w:ascii="宋体" w:hAnsi="宋体"/>
        </w:rPr>
        <w:t>提供国家认可的第三方检测机构出具的防爆认证证书和防爆风机合格检验报告</w:t>
      </w:r>
      <w:r>
        <w:rPr>
          <w:rFonts w:hint="eastAsia" w:ascii="宋体" w:hAnsi="宋体"/>
          <w:lang w:eastAsia="zh-CN"/>
        </w:rPr>
        <w:t>（</w:t>
      </w:r>
      <w:r>
        <w:rPr>
          <w:rFonts w:hint="eastAsia" w:ascii="宋体" w:hAnsi="宋体"/>
        </w:rPr>
        <w:t>提供检测报告复印件并加盖生产厂家公章</w:t>
      </w:r>
      <w:r>
        <w:rPr>
          <w:rFonts w:hint="eastAsia" w:ascii="宋体" w:hAnsi="宋体"/>
          <w:lang w:eastAsia="zh-CN"/>
        </w:rPr>
        <w:t>）</w:t>
      </w:r>
      <w:r>
        <w:rPr>
          <w:rFonts w:hint="eastAsia" w:ascii="宋体" w:hAnsi="宋体"/>
        </w:rPr>
        <w:t>；</w:t>
      </w:r>
    </w:p>
    <w:p>
      <w:pPr>
        <w:spacing w:line="360" w:lineRule="exact"/>
        <w:ind w:firstLine="420" w:firstLineChars="200"/>
        <w:rPr>
          <w:rFonts w:ascii="宋体" w:hAnsi="宋体"/>
        </w:rPr>
      </w:pPr>
      <w:r>
        <w:rPr>
          <w:rFonts w:hint="eastAsia" w:ascii="宋体" w:hAnsi="宋体"/>
        </w:rPr>
        <w:t>(3)</w:t>
      </w:r>
      <w:r>
        <w:rPr>
          <w:rFonts w:hint="eastAsia" w:ascii="宋体" w:hAnsi="宋体"/>
          <w:sz w:val="18"/>
          <w:szCs w:val="18"/>
        </w:rPr>
        <w:t>▲</w:t>
      </w:r>
      <w:r>
        <w:rPr>
          <w:rFonts w:hint="eastAsia" w:ascii="宋体" w:hAnsi="宋体"/>
        </w:rPr>
        <w:t>提供国家认可的第三方检测机构出具的风机主要材料质量检测合格报告</w:t>
      </w:r>
      <w:r>
        <w:rPr>
          <w:rFonts w:hint="eastAsia" w:ascii="宋体" w:hAnsi="宋体"/>
          <w:lang w:eastAsia="zh-CN"/>
        </w:rPr>
        <w:t>（</w:t>
      </w:r>
      <w:r>
        <w:rPr>
          <w:rFonts w:hint="eastAsia" w:ascii="宋体" w:hAnsi="宋体"/>
        </w:rPr>
        <w:t>提供检测报告复印件并加盖生产厂家公章</w:t>
      </w:r>
      <w:r>
        <w:rPr>
          <w:rFonts w:hint="eastAsia" w:ascii="宋体" w:hAnsi="宋体"/>
          <w:lang w:eastAsia="zh-CN"/>
        </w:rPr>
        <w:t>）</w:t>
      </w:r>
      <w:r>
        <w:rPr>
          <w:rFonts w:hint="eastAsia" w:ascii="宋体" w:hAnsi="宋体"/>
        </w:rPr>
        <w:t>；</w:t>
      </w:r>
    </w:p>
    <w:p>
      <w:pPr>
        <w:spacing w:line="360" w:lineRule="exact"/>
        <w:ind w:firstLine="420" w:firstLineChars="200"/>
        <w:rPr>
          <w:rFonts w:ascii="宋体" w:hAnsi="宋体"/>
        </w:rPr>
      </w:pPr>
      <w:r>
        <w:rPr>
          <w:rFonts w:hint="eastAsia" w:ascii="宋体" w:hAnsi="宋体"/>
        </w:rPr>
        <w:t>(4)</w:t>
      </w:r>
      <w:r>
        <w:rPr>
          <w:rFonts w:hint="eastAsia" w:ascii="宋体" w:hAnsi="宋体"/>
          <w:sz w:val="18"/>
          <w:szCs w:val="18"/>
        </w:rPr>
        <w:t>▲</w:t>
      </w:r>
      <w:r>
        <w:rPr>
          <w:rFonts w:hint="eastAsia" w:ascii="宋体" w:hAnsi="宋体"/>
        </w:rPr>
        <w:t>提供生产厂家对本项目支持的授权委托书原件。</w:t>
      </w:r>
    </w:p>
    <w:p>
      <w:pPr>
        <w:spacing w:line="360" w:lineRule="exact"/>
        <w:ind w:firstLine="422" w:firstLineChars="200"/>
        <w:outlineLvl w:val="2"/>
        <w:rPr>
          <w:rFonts w:ascii="宋体" w:hAnsi="宋体"/>
          <w:b/>
        </w:rPr>
      </w:pPr>
      <w:r>
        <w:rPr>
          <w:rFonts w:hint="eastAsia" w:ascii="宋体" w:hAnsi="宋体"/>
          <w:b/>
        </w:rPr>
        <w:t>2.3.消声器：</w:t>
      </w:r>
    </w:p>
    <w:p>
      <w:pPr>
        <w:spacing w:line="360" w:lineRule="exact"/>
        <w:ind w:firstLine="420" w:firstLineChars="200"/>
        <w:rPr>
          <w:rFonts w:ascii="宋体" w:hAnsi="宋体"/>
        </w:rPr>
      </w:pPr>
      <w:r>
        <w:rPr>
          <w:rFonts w:hint="eastAsia" w:ascii="宋体" w:hAnsi="宋体"/>
        </w:rPr>
        <w:t>2.3.1消声器壳体采用不小于6mm厚玻璃钢材质一体成型或采用不小于8mm厚PP板焊接成型，所有焊缝需做到两面焊（最后一道焊缝可只焊一面），必须牢固、光滑；消声器整体应有足够的强度，须在系统压差2000Pa下不发生任何变形</w:t>
      </w:r>
      <w:r>
        <w:rPr>
          <w:rFonts w:hint="eastAsia" w:ascii="宋体" w:hAnsi="宋体"/>
          <w:lang w:eastAsia="zh-CN"/>
        </w:rPr>
        <w:t>，</w:t>
      </w:r>
      <w:r>
        <w:rPr>
          <w:rFonts w:hint="eastAsia" w:ascii="宋体" w:hAnsi="宋体"/>
        </w:rPr>
        <w:t>不漏风；</w:t>
      </w:r>
    </w:p>
    <w:p>
      <w:pPr>
        <w:spacing w:line="360" w:lineRule="exact"/>
        <w:ind w:firstLine="420" w:firstLineChars="200"/>
        <w:rPr>
          <w:rFonts w:ascii="宋体" w:hAnsi="宋体"/>
        </w:rPr>
      </w:pPr>
      <w:r>
        <w:rPr>
          <w:rFonts w:hint="eastAsia" w:ascii="宋体" w:hAnsi="宋体"/>
        </w:rPr>
        <w:t>2.3.2吸声棉采用超细玻璃纤维棉</w:t>
      </w:r>
      <w:r>
        <w:rPr>
          <w:rFonts w:hint="eastAsia" w:ascii="宋体" w:hAnsi="宋体"/>
          <w:lang w:eastAsia="zh-CN"/>
        </w:rPr>
        <w:t>，</w:t>
      </w:r>
      <w:r>
        <w:rPr>
          <w:rFonts w:hint="eastAsia" w:ascii="宋体" w:hAnsi="宋体"/>
        </w:rPr>
        <w:t>并用不锈钢丝网加固</w:t>
      </w:r>
      <w:r>
        <w:rPr>
          <w:rFonts w:hint="eastAsia" w:ascii="宋体" w:hAnsi="宋体"/>
          <w:lang w:eastAsia="zh-CN"/>
        </w:rPr>
        <w:t>，</w:t>
      </w:r>
      <w:r>
        <w:rPr>
          <w:rFonts w:hint="eastAsia" w:ascii="宋体" w:hAnsi="宋体"/>
        </w:rPr>
        <w:t>吸声棉与穿孔板之间</w:t>
      </w:r>
      <w:r>
        <w:rPr>
          <w:rFonts w:hint="eastAsia" w:ascii="宋体" w:hAnsi="宋体"/>
          <w:lang w:eastAsia="zh-CN"/>
        </w:rPr>
        <w:t>，</w:t>
      </w:r>
      <w:r>
        <w:rPr>
          <w:rFonts w:hint="eastAsia" w:ascii="宋体" w:hAnsi="宋体"/>
        </w:rPr>
        <w:t>吸声棉层厚度为100mm</w:t>
      </w:r>
      <w:r>
        <w:rPr>
          <w:rFonts w:hint="eastAsia" w:ascii="宋体" w:hAnsi="宋体"/>
          <w:lang w:eastAsia="zh-CN"/>
        </w:rPr>
        <w:t>，</w:t>
      </w:r>
      <w:r>
        <w:rPr>
          <w:rFonts w:hint="eastAsia" w:ascii="宋体" w:hAnsi="宋体"/>
        </w:rPr>
        <w:t>吸声棉层松紧适中、密度均匀铺设</w:t>
      </w:r>
      <w:r>
        <w:rPr>
          <w:rFonts w:hint="eastAsia" w:ascii="宋体" w:hAnsi="宋体"/>
          <w:lang w:eastAsia="zh-CN"/>
        </w:rPr>
        <w:t>，</w:t>
      </w:r>
      <w:r>
        <w:rPr>
          <w:rFonts w:hint="eastAsia" w:ascii="宋体" w:hAnsi="宋体"/>
        </w:rPr>
        <w:t>有防止下沉的措施；</w:t>
      </w:r>
    </w:p>
    <w:p>
      <w:pPr>
        <w:spacing w:line="360" w:lineRule="exact"/>
        <w:ind w:firstLine="420" w:firstLineChars="200"/>
        <w:rPr>
          <w:rFonts w:ascii="宋体" w:hAnsi="宋体"/>
        </w:rPr>
      </w:pPr>
      <w:r>
        <w:rPr>
          <w:rFonts w:hint="eastAsia" w:ascii="宋体" w:hAnsi="宋体"/>
        </w:rPr>
        <w:t>2.3.3消声器所有材料均应符合设计规定的防火、防腐要求；</w:t>
      </w:r>
    </w:p>
    <w:p>
      <w:pPr>
        <w:spacing w:line="360" w:lineRule="exact"/>
        <w:ind w:firstLine="420" w:firstLineChars="200"/>
        <w:rPr>
          <w:rFonts w:ascii="宋体" w:hAnsi="宋体"/>
          <w:color w:val="000000"/>
        </w:rPr>
      </w:pPr>
      <w:r>
        <w:rPr>
          <w:rFonts w:hint="eastAsia" w:ascii="宋体" w:hAnsi="宋体"/>
        </w:rPr>
        <w:t>2.3.4</w:t>
      </w:r>
      <w:r>
        <w:rPr>
          <w:rFonts w:hint="eastAsia" w:ascii="宋体" w:hAnsi="宋体"/>
          <w:color w:val="000000"/>
        </w:rPr>
        <w:t>消声器要保证风机运行时有良好的消声效果</w:t>
      </w:r>
      <w:r>
        <w:rPr>
          <w:rFonts w:hint="eastAsia" w:ascii="宋体" w:hAnsi="宋体"/>
          <w:color w:val="000000"/>
          <w:lang w:eastAsia="zh-CN"/>
        </w:rPr>
        <w:t>，</w:t>
      </w:r>
      <w:r>
        <w:rPr>
          <w:rFonts w:hint="eastAsia" w:ascii="宋体" w:hAnsi="宋体"/>
          <w:color w:val="000000"/>
        </w:rPr>
        <w:t>满足风机运行时的室内及室外噪音要求。</w:t>
      </w:r>
    </w:p>
    <w:p>
      <w:pPr>
        <w:spacing w:line="360" w:lineRule="exact"/>
        <w:ind w:firstLine="422" w:firstLineChars="200"/>
        <w:outlineLvl w:val="2"/>
        <w:rPr>
          <w:rFonts w:ascii="宋体" w:hAnsi="宋体"/>
          <w:b/>
        </w:rPr>
      </w:pPr>
      <w:r>
        <w:rPr>
          <w:rFonts w:hint="eastAsia" w:ascii="宋体" w:hAnsi="宋体"/>
          <w:b/>
        </w:rPr>
        <w:t>2.4.防火阀：</w:t>
      </w:r>
    </w:p>
    <w:p>
      <w:pPr>
        <w:spacing w:line="360" w:lineRule="exact"/>
        <w:ind w:firstLine="420" w:firstLineChars="200"/>
        <w:rPr>
          <w:rFonts w:ascii="宋体" w:hAnsi="宋体"/>
        </w:rPr>
      </w:pPr>
      <w:r>
        <w:rPr>
          <w:rFonts w:hint="eastAsia" w:ascii="宋体" w:hAnsi="宋体"/>
        </w:rPr>
        <w:t>2.4.1防火阀以碳钢制作，表面喷涂防火涂料；</w:t>
      </w:r>
    </w:p>
    <w:p>
      <w:pPr>
        <w:spacing w:line="360" w:lineRule="exact"/>
        <w:ind w:firstLine="420" w:firstLineChars="200"/>
        <w:rPr>
          <w:rFonts w:ascii="宋体" w:hAnsi="宋体"/>
        </w:rPr>
      </w:pPr>
      <w:r>
        <w:rPr>
          <w:rFonts w:hint="eastAsia" w:ascii="宋体" w:hAnsi="宋体"/>
        </w:rPr>
        <w:t>2.4.2防火阀里有熔断保险丝，常开，70℃时熔断器动作，阀门自动关闭，手动复位；</w:t>
      </w:r>
    </w:p>
    <w:p>
      <w:pPr>
        <w:spacing w:line="360" w:lineRule="exact"/>
        <w:ind w:firstLine="420" w:firstLineChars="200"/>
        <w:rPr>
          <w:rFonts w:ascii="宋体" w:hAnsi="宋体"/>
        </w:rPr>
      </w:pPr>
      <w:r>
        <w:rPr>
          <w:rFonts w:hint="eastAsia" w:ascii="宋体" w:hAnsi="宋体"/>
        </w:rPr>
        <w:t>2.4.3防火阀与风管穿过的结构处用镀锌螺栓连接；防火阀需要通过国家消防机构颁发的3C认证证书；</w:t>
      </w:r>
    </w:p>
    <w:p>
      <w:pPr>
        <w:spacing w:line="360" w:lineRule="exact"/>
        <w:ind w:firstLine="420" w:firstLineChars="200"/>
        <w:rPr>
          <w:rFonts w:ascii="宋体" w:hAnsi="宋体"/>
        </w:rPr>
      </w:pPr>
      <w:r>
        <w:rPr>
          <w:rFonts w:hint="eastAsia" w:ascii="宋体" w:hAnsi="宋体"/>
        </w:rPr>
        <w:t>2.4.4当管道通过不同防火分区时需设计防火阀，防火阀采用70度常开防火阀。一般情况下，防火阀的安装依据图纸；但是投标人应根据现场情况相应的防火要求设计、安装防火阀。</w:t>
      </w:r>
    </w:p>
    <w:p>
      <w:pPr>
        <w:spacing w:line="360" w:lineRule="exact"/>
        <w:ind w:firstLine="420" w:firstLineChars="200"/>
        <w:rPr>
          <w:rFonts w:ascii="宋体" w:hAnsi="宋体"/>
        </w:rPr>
      </w:pPr>
      <w:r>
        <w:rPr>
          <w:rFonts w:hint="eastAsia" w:ascii="宋体" w:hAnsi="宋体"/>
        </w:rPr>
        <w:t>2.4.5安装调节配件时，必须注意将操作手柄配置在便于操作的位置；</w:t>
      </w:r>
    </w:p>
    <w:p>
      <w:pPr>
        <w:spacing w:line="360" w:lineRule="exact"/>
        <w:ind w:firstLine="420" w:firstLineChars="200"/>
        <w:rPr>
          <w:rFonts w:ascii="宋体" w:hAnsi="宋体"/>
        </w:rPr>
      </w:pPr>
      <w:r>
        <w:rPr>
          <w:rFonts w:hint="eastAsia" w:ascii="宋体" w:hAnsi="宋体"/>
        </w:rPr>
        <w:t>2.4.6防火阀的安装位置必须与设计相符，气流方向务必与阀体上标志的箭头相一致，严禁相反；</w:t>
      </w:r>
    </w:p>
    <w:p>
      <w:pPr>
        <w:spacing w:line="360" w:lineRule="exact"/>
        <w:ind w:firstLine="420" w:firstLineChars="200"/>
        <w:rPr>
          <w:rFonts w:ascii="宋体" w:hAnsi="宋体"/>
        </w:rPr>
      </w:pPr>
      <w:r>
        <w:rPr>
          <w:rFonts w:hint="eastAsia" w:ascii="宋体" w:hAnsi="宋体"/>
        </w:rPr>
        <w:t>2.4.7防火阀必须单独配置支吊架，以便于单独检修；阀门四周要留有一定空间，以便 于检修和更换零部件；安装防火阀时，应先对其外观质量和动作的灵活性与可靠 性进行检验，确认合格后再进行安装。</w:t>
      </w:r>
    </w:p>
    <w:p>
      <w:pPr>
        <w:spacing w:line="360" w:lineRule="exact"/>
        <w:ind w:firstLine="422" w:firstLineChars="200"/>
        <w:outlineLvl w:val="2"/>
        <w:rPr>
          <w:rFonts w:ascii="宋体" w:hAnsi="宋体"/>
          <w:b/>
        </w:rPr>
      </w:pPr>
      <w:r>
        <w:rPr>
          <w:rFonts w:hint="eastAsia" w:ascii="宋体" w:hAnsi="宋体"/>
          <w:b/>
        </w:rPr>
        <w:t>2.5.PP风管:</w:t>
      </w:r>
    </w:p>
    <w:p>
      <w:pPr>
        <w:spacing w:line="360" w:lineRule="exact"/>
        <w:ind w:firstLine="420" w:firstLineChars="200"/>
        <w:rPr>
          <w:rFonts w:ascii="宋体" w:hAnsi="宋体"/>
        </w:rPr>
      </w:pPr>
      <w:r>
        <w:rPr>
          <w:rFonts w:hint="eastAsia" w:ascii="宋体" w:hAnsi="宋体"/>
        </w:rPr>
        <w:t>2.5.1实验室排风管制作选用阻燃性能PP材料；</w:t>
      </w:r>
    </w:p>
    <w:p>
      <w:pPr>
        <w:spacing w:line="360" w:lineRule="exact"/>
        <w:ind w:firstLine="420" w:firstLineChars="200"/>
        <w:rPr>
          <w:rFonts w:hint="eastAsia" w:ascii="宋体" w:hAnsi="宋体" w:eastAsia="宋体"/>
          <w:lang w:eastAsia="zh-CN"/>
        </w:rPr>
      </w:pPr>
      <w:r>
        <w:rPr>
          <w:rFonts w:hint="eastAsia" w:ascii="宋体" w:hAnsi="宋体"/>
        </w:rPr>
        <w:t>2.5.2风管材料应符合质量要求，有出厂合格证明书或质量鉴定文件；风管板材不应低于以下规格（单位：mm）：</w:t>
      </w:r>
    </w:p>
    <w:tbl>
      <w:tblPr>
        <w:tblStyle w:val="13"/>
        <w:tblW w:w="7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9"/>
        <w:gridCol w:w="1666"/>
        <w:gridCol w:w="1940"/>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69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center"/>
              <w:rPr>
                <w:rFonts w:ascii="宋体" w:hAnsi="宋体"/>
              </w:rPr>
            </w:pPr>
            <w:r>
              <w:rPr>
                <w:rFonts w:hint="eastAsia" w:ascii="宋体" w:hAnsi="宋体"/>
              </w:rPr>
              <w:t>圆形风管</w:t>
            </w:r>
          </w:p>
        </w:tc>
        <w:tc>
          <w:tcPr>
            <w:tcW w:w="351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center"/>
              <w:rPr>
                <w:rFonts w:ascii="宋体" w:hAnsi="宋体"/>
              </w:rPr>
            </w:pPr>
            <w:r>
              <w:rPr>
                <w:rFonts w:hint="eastAsia" w:ascii="宋体" w:hAnsi="宋体"/>
              </w:rPr>
              <w:t>矩形风管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02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rPr>
            </w:pPr>
            <w:r>
              <w:rPr>
                <w:rFonts w:hint="eastAsia" w:ascii="宋体" w:hAnsi="宋体"/>
              </w:rPr>
              <w:t>直径D</w:t>
            </w:r>
          </w:p>
        </w:tc>
        <w:tc>
          <w:tcPr>
            <w:tcW w:w="166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rPr>
            </w:pPr>
            <w:r>
              <w:rPr>
                <w:rFonts w:hint="eastAsia" w:ascii="宋体" w:hAnsi="宋体"/>
              </w:rPr>
              <w:t>板材厚度</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rPr>
            </w:pPr>
            <w:r>
              <w:rPr>
                <w:rFonts w:hint="eastAsia" w:ascii="宋体" w:hAnsi="宋体"/>
              </w:rPr>
              <w:t>长边尺寸b</w:t>
            </w:r>
          </w:p>
        </w:tc>
        <w:tc>
          <w:tcPr>
            <w:tcW w:w="1573"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rPr>
            </w:pPr>
            <w:r>
              <w:rPr>
                <w:rFonts w:hint="eastAsia" w:ascii="宋体" w:hAnsi="宋体"/>
              </w:rPr>
              <w:t>板材厚度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02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rPr>
            </w:pPr>
            <w:r>
              <w:rPr>
                <w:rFonts w:hint="eastAsia" w:ascii="宋体" w:hAnsi="宋体"/>
              </w:rPr>
              <w:t>D≤320</w:t>
            </w:r>
          </w:p>
        </w:tc>
        <w:tc>
          <w:tcPr>
            <w:tcW w:w="166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hint="default" w:ascii="宋体" w:hAnsi="宋体" w:eastAsia="宋体" w:cs="Times New Roman"/>
                <w:color w:val="0000FF"/>
                <w:lang w:val="en-US" w:eastAsia="zh-CN"/>
              </w:rPr>
            </w:pPr>
            <w:r>
              <w:rPr>
                <w:rFonts w:hint="eastAsia" w:ascii="宋体" w:hAnsi="宋体" w:eastAsia="宋体" w:cs="Times New Roman"/>
                <w:color w:val="0000FF"/>
                <w:lang w:eastAsia="zh-CN"/>
              </w:rPr>
              <w:t>按</w:t>
            </w:r>
            <w:r>
              <w:rPr>
                <w:rFonts w:hint="eastAsia" w:ascii="宋体" w:hAnsi="宋体" w:eastAsia="宋体" w:cs="Times New Roman"/>
                <w:color w:val="0000FF"/>
                <w:lang w:val="en-US" w:eastAsia="zh-CN"/>
              </w:rPr>
              <w:t>国标</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rPr>
            </w:pPr>
            <w:r>
              <w:rPr>
                <w:rFonts w:hint="eastAsia" w:ascii="宋体" w:hAnsi="宋体"/>
              </w:rPr>
              <w:t>b≤320</w:t>
            </w:r>
          </w:p>
        </w:tc>
        <w:tc>
          <w:tcPr>
            <w:tcW w:w="1573"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hint="eastAsia" w:ascii="宋体" w:hAnsi="宋体" w:eastAsia="宋体" w:cs="Times New Roman"/>
                <w:color w:val="0000FF"/>
                <w:lang w:eastAsia="zh-CN"/>
              </w:rPr>
            </w:pPr>
            <w:r>
              <w:rPr>
                <w:rFonts w:hint="eastAsia" w:ascii="宋体" w:hAnsi="宋体" w:eastAsia="宋体" w:cs="Times New Roman"/>
                <w:color w:val="0000FF"/>
                <w:lang w:eastAsia="zh-CN"/>
              </w:rPr>
              <w:t>按</w:t>
            </w:r>
            <w:r>
              <w:rPr>
                <w:rFonts w:hint="eastAsia" w:ascii="宋体" w:hAnsi="宋体" w:eastAsia="宋体" w:cs="Times New Roman"/>
                <w:color w:val="0000FF"/>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02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rPr>
            </w:pPr>
            <w:r>
              <w:rPr>
                <w:rFonts w:hint="eastAsia" w:ascii="宋体" w:hAnsi="宋体"/>
              </w:rPr>
              <w:t>320&lt;D≤630</w:t>
            </w:r>
          </w:p>
        </w:tc>
        <w:tc>
          <w:tcPr>
            <w:tcW w:w="166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hint="eastAsia" w:ascii="宋体" w:hAnsi="宋体" w:eastAsia="宋体" w:cs="Times New Roman"/>
                <w:color w:val="0000FF"/>
                <w:lang w:eastAsia="zh-CN"/>
              </w:rPr>
            </w:pPr>
            <w:r>
              <w:rPr>
                <w:rFonts w:hint="eastAsia" w:ascii="宋体" w:hAnsi="宋体" w:eastAsia="宋体" w:cs="Times New Roman"/>
                <w:color w:val="0000FF"/>
                <w:lang w:eastAsia="zh-CN"/>
              </w:rPr>
              <w:t>按</w:t>
            </w:r>
            <w:r>
              <w:rPr>
                <w:rFonts w:hint="eastAsia" w:ascii="宋体" w:hAnsi="宋体" w:eastAsia="宋体" w:cs="Times New Roman"/>
                <w:color w:val="0000FF"/>
                <w:lang w:val="en-US" w:eastAsia="zh-CN"/>
              </w:rPr>
              <w:t>国标</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rPr>
            </w:pPr>
            <w:r>
              <w:rPr>
                <w:rFonts w:hint="eastAsia" w:ascii="宋体" w:hAnsi="宋体"/>
              </w:rPr>
              <w:t>320&lt;b≤500</w:t>
            </w:r>
          </w:p>
        </w:tc>
        <w:tc>
          <w:tcPr>
            <w:tcW w:w="1573"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hint="eastAsia" w:ascii="宋体" w:hAnsi="宋体" w:eastAsia="宋体" w:cs="Times New Roman"/>
                <w:color w:val="0000FF"/>
                <w:lang w:eastAsia="zh-CN"/>
              </w:rPr>
            </w:pPr>
            <w:r>
              <w:rPr>
                <w:rFonts w:hint="eastAsia" w:ascii="宋体" w:hAnsi="宋体" w:eastAsia="宋体" w:cs="Times New Roman"/>
                <w:color w:val="0000FF"/>
                <w:lang w:eastAsia="zh-CN"/>
              </w:rPr>
              <w:t>按</w:t>
            </w:r>
            <w:r>
              <w:rPr>
                <w:rFonts w:hint="eastAsia" w:ascii="宋体" w:hAnsi="宋体" w:eastAsia="宋体" w:cs="Times New Roman"/>
                <w:color w:val="0000FF"/>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02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rPr>
            </w:pPr>
            <w:r>
              <w:rPr>
                <w:rFonts w:hint="eastAsia" w:ascii="宋体" w:hAnsi="宋体"/>
              </w:rPr>
              <w:t>630&lt;D≤1000</w:t>
            </w:r>
          </w:p>
        </w:tc>
        <w:tc>
          <w:tcPr>
            <w:tcW w:w="166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hint="eastAsia" w:ascii="宋体" w:hAnsi="宋体" w:eastAsia="宋体" w:cs="Times New Roman"/>
                <w:color w:val="0000FF"/>
                <w:lang w:eastAsia="zh-CN"/>
              </w:rPr>
            </w:pPr>
            <w:r>
              <w:rPr>
                <w:rFonts w:hint="eastAsia" w:ascii="宋体" w:hAnsi="宋体" w:eastAsia="宋体" w:cs="Times New Roman"/>
                <w:color w:val="0000FF"/>
                <w:lang w:eastAsia="zh-CN"/>
              </w:rPr>
              <w:t>按</w:t>
            </w:r>
            <w:r>
              <w:rPr>
                <w:rFonts w:hint="eastAsia" w:ascii="宋体" w:hAnsi="宋体" w:eastAsia="宋体" w:cs="Times New Roman"/>
                <w:color w:val="0000FF"/>
                <w:lang w:val="en-US" w:eastAsia="zh-CN"/>
              </w:rPr>
              <w:t>国标</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rPr>
            </w:pPr>
            <w:r>
              <w:rPr>
                <w:rFonts w:hint="eastAsia" w:ascii="宋体" w:hAnsi="宋体"/>
              </w:rPr>
              <w:t>500&lt;b≤800</w:t>
            </w:r>
          </w:p>
        </w:tc>
        <w:tc>
          <w:tcPr>
            <w:tcW w:w="1573"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hint="eastAsia" w:ascii="宋体" w:hAnsi="宋体" w:eastAsia="宋体" w:cs="Times New Roman"/>
                <w:color w:val="0000FF"/>
                <w:lang w:eastAsia="zh-CN"/>
              </w:rPr>
            </w:pPr>
            <w:r>
              <w:rPr>
                <w:rFonts w:hint="eastAsia" w:ascii="宋体" w:hAnsi="宋体" w:eastAsia="宋体" w:cs="Times New Roman"/>
                <w:color w:val="0000FF"/>
                <w:lang w:eastAsia="zh-CN"/>
              </w:rPr>
              <w:t>按</w:t>
            </w:r>
            <w:r>
              <w:rPr>
                <w:rFonts w:hint="eastAsia" w:ascii="宋体" w:hAnsi="宋体" w:eastAsia="宋体" w:cs="Times New Roman"/>
                <w:color w:val="0000FF"/>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02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rPr>
            </w:pPr>
            <w:r>
              <w:rPr>
                <w:rFonts w:hint="eastAsia" w:ascii="宋体" w:hAnsi="宋体"/>
              </w:rPr>
              <w:t>1000&lt;D≤2000</w:t>
            </w:r>
          </w:p>
        </w:tc>
        <w:tc>
          <w:tcPr>
            <w:tcW w:w="166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hint="default" w:ascii="宋体" w:hAnsi="宋体" w:eastAsia="宋体" w:cs="Times New Roman"/>
                <w:color w:val="0000FF"/>
                <w:lang w:val="en-US" w:eastAsia="zh-CN"/>
              </w:rPr>
            </w:pPr>
            <w:r>
              <w:rPr>
                <w:rFonts w:hint="eastAsia" w:ascii="宋体" w:hAnsi="宋体" w:eastAsia="宋体" w:cs="Times New Roman"/>
                <w:color w:val="0000FF"/>
                <w:lang w:eastAsia="zh-CN"/>
              </w:rPr>
              <w:t>按</w:t>
            </w:r>
            <w:r>
              <w:rPr>
                <w:rFonts w:hint="eastAsia" w:ascii="宋体" w:hAnsi="宋体" w:eastAsia="宋体" w:cs="Times New Roman"/>
                <w:color w:val="0000FF"/>
                <w:lang w:val="en-US" w:eastAsia="zh-CN"/>
              </w:rPr>
              <w:t>国标</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rPr>
            </w:pPr>
            <w:r>
              <w:rPr>
                <w:rFonts w:hint="eastAsia" w:ascii="宋体" w:hAnsi="宋体"/>
              </w:rPr>
              <w:t>800&lt;b≤1250</w:t>
            </w:r>
          </w:p>
        </w:tc>
        <w:tc>
          <w:tcPr>
            <w:tcW w:w="1573"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hint="eastAsia" w:ascii="宋体" w:hAnsi="宋体" w:eastAsia="宋体" w:cs="Times New Roman"/>
                <w:color w:val="0000FF"/>
                <w:lang w:eastAsia="zh-CN"/>
              </w:rPr>
            </w:pPr>
            <w:r>
              <w:rPr>
                <w:rFonts w:hint="eastAsia" w:ascii="宋体" w:hAnsi="宋体" w:eastAsia="宋体" w:cs="Times New Roman"/>
                <w:color w:val="0000FF"/>
                <w:lang w:eastAsia="zh-CN"/>
              </w:rPr>
              <w:t>按</w:t>
            </w:r>
            <w:r>
              <w:rPr>
                <w:rFonts w:hint="eastAsia" w:ascii="宋体" w:hAnsi="宋体" w:eastAsia="宋体" w:cs="Times New Roman"/>
                <w:color w:val="0000FF"/>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02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rPr>
            </w:pPr>
          </w:p>
        </w:tc>
        <w:tc>
          <w:tcPr>
            <w:tcW w:w="166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rPr>
            </w:pP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rPr>
            </w:pPr>
            <w:r>
              <w:rPr>
                <w:rFonts w:hint="eastAsia" w:ascii="宋体" w:hAnsi="宋体"/>
              </w:rPr>
              <w:t>1250&lt;b≤2000</w:t>
            </w:r>
          </w:p>
        </w:tc>
        <w:tc>
          <w:tcPr>
            <w:tcW w:w="1573"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hint="eastAsia" w:ascii="宋体" w:hAnsi="宋体" w:eastAsia="宋体" w:cs="Times New Roman"/>
                <w:color w:val="0000FF"/>
                <w:lang w:eastAsia="zh-CN"/>
              </w:rPr>
            </w:pPr>
            <w:r>
              <w:rPr>
                <w:rFonts w:hint="eastAsia" w:ascii="宋体" w:hAnsi="宋体" w:eastAsia="宋体" w:cs="Times New Roman"/>
                <w:color w:val="0000FF"/>
                <w:lang w:eastAsia="zh-CN"/>
              </w:rPr>
              <w:t>按</w:t>
            </w:r>
            <w:r>
              <w:rPr>
                <w:rFonts w:hint="eastAsia" w:ascii="宋体" w:hAnsi="宋体" w:eastAsia="宋体" w:cs="Times New Roman"/>
                <w:color w:val="0000FF"/>
                <w:lang w:val="en-US" w:eastAsia="zh-CN"/>
              </w:rPr>
              <w:t>国标</w:t>
            </w:r>
          </w:p>
        </w:tc>
      </w:tr>
    </w:tbl>
    <w:p>
      <w:pPr>
        <w:spacing w:line="360" w:lineRule="exact"/>
        <w:ind w:firstLine="420" w:firstLineChars="200"/>
        <w:rPr>
          <w:rFonts w:ascii="宋体" w:hAnsi="宋体" w:cs="等线"/>
          <w:szCs w:val="21"/>
        </w:rPr>
      </w:pPr>
      <w:r>
        <w:rPr>
          <w:rFonts w:hint="eastAsia" w:ascii="宋体" w:hAnsi="宋体"/>
        </w:rPr>
        <w:t>2.5.3</w:t>
      </w:r>
      <w:r>
        <w:rPr>
          <w:rFonts w:hint="eastAsia" w:ascii="宋体" w:hAnsi="宋体"/>
          <w:color w:val="000000"/>
        </w:rPr>
        <w:t>矩形风管必须为自动焊接且纵向焊缝≤2条</w:t>
      </w:r>
      <w:r>
        <w:rPr>
          <w:rFonts w:hint="eastAsia" w:ascii="宋体" w:hAnsi="宋体"/>
          <w:color w:val="000000"/>
          <w:lang w:eastAsia="zh-CN"/>
        </w:rPr>
        <w:t>，</w:t>
      </w:r>
      <w:r>
        <w:rPr>
          <w:rFonts w:hint="eastAsia" w:ascii="宋体" w:hAnsi="宋体"/>
          <w:color w:val="000000"/>
        </w:rPr>
        <w:t>焊缝应饱满</w:t>
      </w:r>
      <w:r>
        <w:rPr>
          <w:rFonts w:hint="eastAsia" w:ascii="宋体" w:hAnsi="宋体"/>
          <w:color w:val="000000"/>
          <w:lang w:eastAsia="zh-CN"/>
        </w:rPr>
        <w:t>，</w:t>
      </w:r>
      <w:r>
        <w:rPr>
          <w:rFonts w:hint="eastAsia" w:ascii="宋体" w:hAnsi="宋体"/>
          <w:color w:val="000000"/>
        </w:rPr>
        <w:t>焊条排列应均匀、美观，保障焊缝不开裂，宽边大于600mm的风管需适当加固。风管之间连接采用法兰方式</w:t>
      </w:r>
      <w:r>
        <w:rPr>
          <w:rFonts w:hint="eastAsia" w:ascii="宋体" w:hAnsi="宋体"/>
          <w:color w:val="000000"/>
          <w:lang w:eastAsia="zh-CN"/>
        </w:rPr>
        <w:t>，</w:t>
      </w:r>
      <w:r>
        <w:rPr>
          <w:rFonts w:hint="eastAsia" w:ascii="宋体" w:hAnsi="宋体"/>
          <w:color w:val="000000"/>
        </w:rPr>
        <w:t>风管与阀门相连用法兰结合</w:t>
      </w:r>
      <w:r>
        <w:rPr>
          <w:rFonts w:hint="eastAsia" w:ascii="宋体" w:hAnsi="宋体"/>
          <w:color w:val="000000"/>
          <w:lang w:eastAsia="zh-CN"/>
        </w:rPr>
        <w:t>（</w:t>
      </w:r>
      <w:r>
        <w:rPr>
          <w:rFonts w:hint="eastAsia" w:ascii="宋体" w:hAnsi="宋体"/>
          <w:color w:val="000000"/>
        </w:rPr>
        <w:t>必须加5mm法兰胶垫</w:t>
      </w:r>
      <w:r>
        <w:rPr>
          <w:rFonts w:hint="eastAsia" w:ascii="宋体" w:hAnsi="宋体"/>
          <w:color w:val="000000"/>
          <w:lang w:eastAsia="zh-CN"/>
        </w:rPr>
        <w:t>，</w:t>
      </w:r>
      <w:r>
        <w:rPr>
          <w:rFonts w:hint="eastAsia" w:ascii="宋体" w:hAnsi="宋体"/>
          <w:color w:val="000000"/>
        </w:rPr>
        <w:t>连接螺栓为不锈钢材质</w:t>
      </w:r>
      <w:r>
        <w:rPr>
          <w:rFonts w:hint="eastAsia" w:ascii="宋体" w:hAnsi="宋体"/>
          <w:color w:val="000000"/>
          <w:lang w:eastAsia="zh-CN"/>
        </w:rPr>
        <w:t>）</w:t>
      </w:r>
      <w:r>
        <w:rPr>
          <w:rFonts w:hint="eastAsia" w:ascii="宋体" w:hAnsi="宋体"/>
          <w:color w:val="000000"/>
        </w:rPr>
        <w:t>。风管制作完毕后应使用中性清洗液将内表面清洗干净</w:t>
      </w:r>
      <w:r>
        <w:rPr>
          <w:rFonts w:hint="eastAsia" w:ascii="宋体" w:hAnsi="宋体"/>
          <w:color w:val="000000"/>
          <w:lang w:eastAsia="zh-CN"/>
        </w:rPr>
        <w:t>，</w:t>
      </w:r>
      <w:r>
        <w:rPr>
          <w:rFonts w:hint="eastAsia" w:ascii="宋体" w:hAnsi="宋体"/>
          <w:color w:val="000000"/>
        </w:rPr>
        <w:t>并用塑料薄膜及胶带封口以备安装</w:t>
      </w:r>
      <w:r>
        <w:rPr>
          <w:rFonts w:hint="eastAsia" w:ascii="宋体" w:hAnsi="宋体"/>
        </w:rPr>
        <w:t>；</w:t>
      </w:r>
    </w:p>
    <w:p>
      <w:pPr>
        <w:spacing w:line="360" w:lineRule="exact"/>
        <w:ind w:firstLine="420" w:firstLineChars="200"/>
        <w:rPr>
          <w:rFonts w:ascii="宋体" w:hAnsi="宋体"/>
        </w:rPr>
      </w:pPr>
      <w:r>
        <w:rPr>
          <w:rFonts w:hint="eastAsia" w:ascii="宋体" w:hAnsi="宋体"/>
        </w:rPr>
        <w:t>2.5.4室外风管保证防腐、耐低温和耐候性能；</w:t>
      </w:r>
    </w:p>
    <w:p>
      <w:pPr>
        <w:spacing w:line="360" w:lineRule="exact"/>
        <w:ind w:firstLine="420" w:firstLineChars="200"/>
        <w:rPr>
          <w:rFonts w:ascii="宋体" w:hAnsi="宋体"/>
        </w:rPr>
      </w:pPr>
      <w:r>
        <w:rPr>
          <w:rFonts w:hint="eastAsia" w:ascii="宋体" w:hAnsi="宋体"/>
        </w:rPr>
        <w:t>2.5.5</w:t>
      </w:r>
      <w:r>
        <w:rPr>
          <w:rFonts w:hint="eastAsia" w:ascii="宋体" w:hAnsi="宋体"/>
          <w:color w:val="000000"/>
        </w:rPr>
        <w:t>风管安装应考虑防凝结水并设置凝结水回流装置</w:t>
      </w:r>
      <w:r>
        <w:rPr>
          <w:rFonts w:hint="eastAsia" w:ascii="宋体" w:hAnsi="宋体"/>
          <w:color w:val="000000"/>
          <w:lang w:eastAsia="zh-CN"/>
        </w:rPr>
        <w:t>，</w:t>
      </w:r>
      <w:r>
        <w:rPr>
          <w:rFonts w:hint="eastAsia" w:ascii="宋体" w:hAnsi="宋体"/>
          <w:color w:val="000000"/>
        </w:rPr>
        <w:t>水平管应保持一定的坡度</w:t>
      </w:r>
      <w:r>
        <w:rPr>
          <w:rFonts w:hint="eastAsia" w:ascii="宋体" w:hAnsi="宋体"/>
          <w:color w:val="000000"/>
          <w:lang w:eastAsia="zh-CN"/>
        </w:rPr>
        <w:t>，</w:t>
      </w:r>
      <w:r>
        <w:rPr>
          <w:rFonts w:hint="eastAsia" w:ascii="宋体" w:hAnsi="宋体"/>
          <w:color w:val="000000"/>
        </w:rPr>
        <w:t>坡向室外立管。风管安装的位置、标高、走向等均应符合设计要求</w:t>
      </w:r>
      <w:r>
        <w:rPr>
          <w:rFonts w:hint="eastAsia" w:ascii="宋体" w:hAnsi="宋体"/>
          <w:color w:val="000000"/>
          <w:lang w:eastAsia="zh-CN"/>
        </w:rPr>
        <w:t>，</w:t>
      </w:r>
      <w:r>
        <w:rPr>
          <w:rFonts w:hint="eastAsia" w:ascii="宋体" w:hAnsi="宋体"/>
          <w:color w:val="000000"/>
        </w:rPr>
        <w:t>做到横平竖直</w:t>
      </w:r>
      <w:r>
        <w:rPr>
          <w:rFonts w:hint="eastAsia" w:ascii="宋体" w:hAnsi="宋体"/>
          <w:color w:val="000000"/>
          <w:lang w:eastAsia="zh-CN"/>
        </w:rPr>
        <w:t>，</w:t>
      </w:r>
      <w:r>
        <w:rPr>
          <w:rFonts w:hint="eastAsia" w:ascii="宋体" w:hAnsi="宋体"/>
          <w:color w:val="000000"/>
        </w:rPr>
        <w:t>连接法兰的螺栓应均匀拧紧</w:t>
      </w:r>
      <w:r>
        <w:rPr>
          <w:rFonts w:hint="eastAsia" w:ascii="宋体" w:hAnsi="宋体"/>
          <w:color w:val="000000"/>
          <w:lang w:eastAsia="zh-CN"/>
        </w:rPr>
        <w:t>，</w:t>
      </w:r>
      <w:r>
        <w:rPr>
          <w:rFonts w:hint="eastAsia" w:ascii="宋体" w:hAnsi="宋体"/>
          <w:color w:val="000000"/>
        </w:rPr>
        <w:t>其螺母在同一侧</w:t>
      </w:r>
      <w:r>
        <w:rPr>
          <w:rFonts w:hint="eastAsia" w:ascii="宋体" w:hAnsi="宋体"/>
        </w:rPr>
        <w:t>；</w:t>
      </w:r>
    </w:p>
    <w:p>
      <w:pPr>
        <w:spacing w:line="360" w:lineRule="exact"/>
        <w:ind w:firstLine="420" w:firstLineChars="200"/>
        <w:rPr>
          <w:rFonts w:ascii="宋体" w:hAnsi="宋体"/>
        </w:rPr>
      </w:pPr>
      <w:r>
        <w:rPr>
          <w:rFonts w:hint="eastAsia" w:ascii="宋体" w:hAnsi="宋体"/>
        </w:rPr>
        <w:t>2.5.6</w:t>
      </w:r>
      <w:r>
        <w:rPr>
          <w:rFonts w:hint="eastAsia" w:ascii="宋体" w:hAnsi="宋体"/>
          <w:color w:val="000000"/>
        </w:rPr>
        <w:t>所有风管设置必要支、吊架，管道支架按国标加工制作</w:t>
      </w:r>
      <w:r>
        <w:rPr>
          <w:rFonts w:hint="eastAsia" w:ascii="宋体" w:hAnsi="宋体"/>
          <w:color w:val="000000"/>
          <w:lang w:eastAsia="zh-CN"/>
        </w:rPr>
        <w:t>，</w:t>
      </w:r>
      <w:r>
        <w:rPr>
          <w:rFonts w:hint="eastAsia" w:ascii="宋体" w:hAnsi="宋体"/>
          <w:color w:val="000000"/>
        </w:rPr>
        <w:t>要求外形美观、牢固、耐腐。风管水平安装时的固定支架间距应做到:风管直径或长边尺寸≤400mm时</w:t>
      </w:r>
      <w:r>
        <w:rPr>
          <w:rFonts w:hint="eastAsia" w:ascii="宋体" w:hAnsi="宋体"/>
          <w:color w:val="000000"/>
          <w:lang w:eastAsia="zh-CN"/>
        </w:rPr>
        <w:t>，</w:t>
      </w:r>
      <w:r>
        <w:rPr>
          <w:rFonts w:hint="eastAsia" w:ascii="宋体" w:hAnsi="宋体"/>
          <w:color w:val="000000"/>
        </w:rPr>
        <w:t>固定间距不应大于3m</w:t>
      </w:r>
      <w:r>
        <w:rPr>
          <w:rFonts w:hint="eastAsia" w:ascii="宋体" w:hAnsi="宋体"/>
          <w:color w:val="000000"/>
          <w:lang w:eastAsia="zh-CN"/>
        </w:rPr>
        <w:t>，</w:t>
      </w:r>
      <w:r>
        <w:rPr>
          <w:rFonts w:hint="eastAsia" w:ascii="宋体" w:hAnsi="宋体"/>
          <w:color w:val="000000"/>
        </w:rPr>
        <w:t>风管直径或长边尺寸</w:t>
      </w:r>
      <w:r>
        <w:rPr>
          <w:rFonts w:hint="eastAsia" w:ascii="宋体" w:hAnsi="宋体"/>
          <w:color w:val="000000"/>
          <w:lang w:eastAsia="zh-CN"/>
        </w:rPr>
        <w:t>〉</w:t>
      </w:r>
      <w:r>
        <w:rPr>
          <w:rFonts w:hint="eastAsia" w:ascii="宋体" w:hAnsi="宋体"/>
          <w:color w:val="000000"/>
        </w:rPr>
        <w:t>400mm时</w:t>
      </w:r>
      <w:r>
        <w:rPr>
          <w:rFonts w:hint="eastAsia" w:ascii="宋体" w:hAnsi="宋体"/>
          <w:color w:val="000000"/>
          <w:lang w:eastAsia="zh-CN"/>
        </w:rPr>
        <w:t>，</w:t>
      </w:r>
      <w:r>
        <w:rPr>
          <w:rFonts w:hint="eastAsia" w:ascii="宋体" w:hAnsi="宋体"/>
          <w:color w:val="000000"/>
        </w:rPr>
        <w:t>固定间距不应大于2m。风管垂直安装时</w:t>
      </w:r>
      <w:r>
        <w:rPr>
          <w:rFonts w:hint="eastAsia" w:ascii="宋体" w:hAnsi="宋体"/>
          <w:color w:val="000000"/>
          <w:lang w:eastAsia="zh-CN"/>
        </w:rPr>
        <w:t>，</w:t>
      </w:r>
      <w:r>
        <w:rPr>
          <w:rFonts w:hint="eastAsia" w:ascii="宋体" w:hAnsi="宋体"/>
          <w:color w:val="000000"/>
        </w:rPr>
        <w:t>固定间距不应大于2.5m</w:t>
      </w:r>
      <w:r>
        <w:rPr>
          <w:rFonts w:hint="eastAsia" w:ascii="宋体" w:hAnsi="宋体"/>
        </w:rPr>
        <w:t>；</w:t>
      </w:r>
    </w:p>
    <w:p>
      <w:pPr>
        <w:spacing w:line="360" w:lineRule="exact"/>
        <w:ind w:firstLine="420" w:firstLineChars="200"/>
        <w:rPr>
          <w:rFonts w:ascii="宋体" w:hAnsi="宋体"/>
        </w:rPr>
      </w:pPr>
      <w:r>
        <w:rPr>
          <w:rFonts w:hint="eastAsia" w:ascii="宋体" w:hAnsi="宋体"/>
        </w:rPr>
        <w:t>2.5.7</w:t>
      </w:r>
      <w:r>
        <w:rPr>
          <w:rFonts w:hint="eastAsia" w:ascii="宋体" w:hAnsi="宋体"/>
          <w:color w:val="000000"/>
        </w:rPr>
        <w:t>风管的弯管曲率半径一般为1倍边长</w:t>
      </w:r>
      <w:r>
        <w:rPr>
          <w:rFonts w:hint="eastAsia" w:ascii="宋体" w:hAnsi="宋体"/>
          <w:color w:val="000000"/>
          <w:lang w:eastAsia="zh-CN"/>
        </w:rPr>
        <w:t>，</w:t>
      </w:r>
      <w:r>
        <w:rPr>
          <w:rFonts w:hint="eastAsia" w:ascii="宋体" w:hAnsi="宋体"/>
          <w:color w:val="000000"/>
        </w:rPr>
        <w:t>最小不应</w:t>
      </w:r>
      <w:r>
        <w:rPr>
          <w:rFonts w:hint="eastAsia" w:ascii="宋体" w:hAnsi="宋体"/>
          <w:color w:val="000000"/>
          <w:lang w:eastAsia="zh-CN"/>
        </w:rPr>
        <w:t>小于</w:t>
      </w:r>
      <w:r>
        <w:rPr>
          <w:rFonts w:hint="eastAsia" w:ascii="宋体" w:hAnsi="宋体"/>
          <w:color w:val="000000"/>
        </w:rPr>
        <w:t>200mm</w:t>
      </w:r>
      <w:r>
        <w:rPr>
          <w:rFonts w:hint="eastAsia" w:ascii="宋体" w:hAnsi="宋体"/>
          <w:color w:val="000000"/>
          <w:lang w:eastAsia="zh-CN"/>
        </w:rPr>
        <w:t>，</w:t>
      </w:r>
      <w:r>
        <w:rPr>
          <w:rFonts w:hint="eastAsia" w:ascii="宋体" w:hAnsi="宋体"/>
          <w:color w:val="000000"/>
        </w:rPr>
        <w:t>弯曲向尺寸≥500mm的应设导流片</w:t>
      </w:r>
      <w:r>
        <w:rPr>
          <w:rFonts w:hint="eastAsia" w:ascii="宋体" w:hAnsi="宋体"/>
          <w:color w:val="000000"/>
          <w:lang w:eastAsia="zh-CN"/>
        </w:rPr>
        <w:t>（</w:t>
      </w:r>
      <w:r>
        <w:rPr>
          <w:rFonts w:hint="eastAsia" w:ascii="宋体" w:hAnsi="宋体"/>
          <w:color w:val="000000"/>
        </w:rPr>
        <w:t>内外弧的弯头可不装设导流片</w:t>
      </w:r>
      <w:r>
        <w:rPr>
          <w:rFonts w:hint="eastAsia" w:ascii="宋体" w:hAnsi="宋体"/>
          <w:color w:val="000000"/>
          <w:lang w:eastAsia="zh-CN"/>
        </w:rPr>
        <w:t>），</w:t>
      </w:r>
      <w:r>
        <w:rPr>
          <w:rFonts w:hint="eastAsia" w:ascii="宋体" w:hAnsi="宋体"/>
          <w:color w:val="000000"/>
        </w:rPr>
        <w:t>圆形风管采用承插连接</w:t>
      </w:r>
      <w:r>
        <w:rPr>
          <w:rFonts w:hint="eastAsia" w:ascii="宋体" w:hAnsi="宋体"/>
          <w:color w:val="000000"/>
          <w:lang w:eastAsia="zh-CN"/>
        </w:rPr>
        <w:t>，</w:t>
      </w:r>
      <w:r>
        <w:rPr>
          <w:rFonts w:hint="eastAsia" w:ascii="宋体" w:hAnsi="宋体"/>
          <w:color w:val="000000"/>
        </w:rPr>
        <w:t>矩形风管采用法兰连接</w:t>
      </w:r>
      <w:r>
        <w:rPr>
          <w:rFonts w:hint="eastAsia" w:ascii="宋体" w:hAnsi="宋体"/>
        </w:rPr>
        <w:t>；</w:t>
      </w:r>
    </w:p>
    <w:p>
      <w:pPr>
        <w:spacing w:line="360" w:lineRule="exact"/>
        <w:ind w:firstLine="420" w:firstLineChars="200"/>
        <w:rPr>
          <w:rFonts w:ascii="宋体" w:hAnsi="宋体"/>
        </w:rPr>
      </w:pPr>
      <w:r>
        <w:rPr>
          <w:rFonts w:hint="eastAsia" w:ascii="宋体" w:hAnsi="宋体"/>
        </w:rPr>
        <w:t>2.5.8</w:t>
      </w:r>
      <w:r>
        <w:rPr>
          <w:rFonts w:hint="eastAsia" w:ascii="宋体" w:hAnsi="宋体"/>
          <w:color w:val="000000"/>
        </w:rPr>
        <w:t>所有风管穿入外墙风管时</w:t>
      </w:r>
      <w:r>
        <w:rPr>
          <w:rFonts w:hint="eastAsia" w:ascii="宋体" w:hAnsi="宋体"/>
          <w:color w:val="000000"/>
          <w:lang w:eastAsia="zh-CN"/>
        </w:rPr>
        <w:t>，</w:t>
      </w:r>
      <w:r>
        <w:rPr>
          <w:rFonts w:hint="eastAsia" w:ascii="宋体" w:hAnsi="宋体"/>
          <w:color w:val="000000"/>
        </w:rPr>
        <w:t>均应加装常开型防火风阀</w:t>
      </w:r>
      <w:r>
        <w:rPr>
          <w:rFonts w:hint="eastAsia" w:ascii="宋体" w:hAnsi="宋体"/>
          <w:color w:val="000000"/>
          <w:lang w:eastAsia="zh-CN"/>
        </w:rPr>
        <w:t>，</w:t>
      </w:r>
      <w:r>
        <w:rPr>
          <w:rFonts w:hint="eastAsia" w:ascii="宋体" w:hAnsi="宋体"/>
          <w:color w:val="000000"/>
        </w:rPr>
        <w:t>当火灾报警动作后</w:t>
      </w:r>
      <w:r>
        <w:rPr>
          <w:rFonts w:hint="eastAsia" w:ascii="宋体" w:hAnsi="宋体"/>
          <w:color w:val="000000"/>
          <w:lang w:eastAsia="zh-CN"/>
        </w:rPr>
        <w:t>，</w:t>
      </w:r>
      <w:r>
        <w:rPr>
          <w:rFonts w:hint="eastAsia" w:ascii="宋体" w:hAnsi="宋体"/>
          <w:color w:val="000000"/>
        </w:rPr>
        <w:t>风管内的温度升到至70℃时</w:t>
      </w:r>
      <w:r>
        <w:rPr>
          <w:rFonts w:hint="eastAsia" w:ascii="宋体" w:hAnsi="宋体"/>
          <w:color w:val="000000"/>
          <w:lang w:eastAsia="zh-CN"/>
        </w:rPr>
        <w:t>，</w:t>
      </w:r>
      <w:r>
        <w:rPr>
          <w:rFonts w:hint="eastAsia" w:ascii="宋体" w:hAnsi="宋体"/>
          <w:color w:val="000000"/>
        </w:rPr>
        <w:t>防火阀易熔片熔断</w:t>
      </w:r>
      <w:r>
        <w:rPr>
          <w:rFonts w:hint="eastAsia" w:ascii="宋体" w:hAnsi="宋体"/>
          <w:color w:val="000000"/>
          <w:lang w:eastAsia="zh-CN"/>
        </w:rPr>
        <w:t>，</w:t>
      </w:r>
      <w:r>
        <w:rPr>
          <w:rFonts w:hint="eastAsia" w:ascii="宋体" w:hAnsi="宋体"/>
          <w:color w:val="000000"/>
        </w:rPr>
        <w:t>防火阀关闭</w:t>
      </w:r>
      <w:r>
        <w:rPr>
          <w:rFonts w:hint="eastAsia" w:ascii="宋体" w:hAnsi="宋体"/>
          <w:color w:val="000000"/>
          <w:lang w:eastAsia="zh-CN"/>
        </w:rPr>
        <w:t>，</w:t>
      </w:r>
      <w:r>
        <w:rPr>
          <w:rFonts w:hint="eastAsia" w:ascii="宋体" w:hAnsi="宋体"/>
          <w:color w:val="000000"/>
        </w:rPr>
        <w:t>防止火灾蔓延</w:t>
      </w:r>
      <w:r>
        <w:rPr>
          <w:rFonts w:hint="eastAsia" w:ascii="宋体" w:hAnsi="宋体"/>
        </w:rPr>
        <w:t>；</w:t>
      </w:r>
    </w:p>
    <w:p>
      <w:pPr>
        <w:spacing w:line="360" w:lineRule="exact"/>
        <w:ind w:firstLine="420" w:firstLineChars="200"/>
        <w:rPr>
          <w:rFonts w:ascii="宋体" w:hAnsi="宋体"/>
        </w:rPr>
      </w:pPr>
      <w:r>
        <w:rPr>
          <w:rFonts w:hint="eastAsia" w:ascii="宋体" w:hAnsi="宋体"/>
        </w:rPr>
        <w:t>2.5.9 PP风管或板性能检测要求如下：</w:t>
      </w:r>
    </w:p>
    <w:p>
      <w:pPr>
        <w:spacing w:line="360" w:lineRule="exact"/>
        <w:ind w:firstLine="420" w:firstLineChars="200"/>
        <w:rPr>
          <w:rFonts w:ascii="宋体" w:hAnsi="宋体"/>
        </w:rPr>
      </w:pPr>
      <w:r>
        <w:rPr>
          <w:rFonts w:hint="eastAsia" w:ascii="宋体" w:hAnsi="宋体"/>
        </w:rPr>
        <w:t>(1)</w:t>
      </w:r>
      <w:r>
        <w:rPr>
          <w:rFonts w:hint="eastAsia" w:ascii="宋体" w:hAnsi="宋体"/>
          <w:sz w:val="18"/>
          <w:szCs w:val="18"/>
        </w:rPr>
        <w:t>★</w:t>
      </w:r>
      <w:r>
        <w:rPr>
          <w:rFonts w:hint="eastAsia" w:ascii="宋体" w:hAnsi="宋体"/>
        </w:rPr>
        <w:t>质量要求：提供参照JGJ/T141-2017《排风管道技术规格》标准出具的管道在风压1500pa情况下，变形量检测结果≤1.5%、漏风量检测结果≤1m³/h.m²</w:t>
      </w:r>
      <w:r>
        <w:rPr>
          <w:rFonts w:hint="eastAsia" w:ascii="宋体" w:hAnsi="宋体"/>
          <w:lang w:eastAsia="zh-CN"/>
        </w:rPr>
        <w:t>（</w:t>
      </w:r>
      <w:r>
        <w:rPr>
          <w:rFonts w:hint="eastAsia" w:ascii="宋体" w:hAnsi="宋体"/>
        </w:rPr>
        <w:t>提供检测报告复印件并加盖生产厂家公章</w:t>
      </w:r>
      <w:r>
        <w:rPr>
          <w:rFonts w:hint="eastAsia" w:ascii="宋体" w:hAnsi="宋体"/>
          <w:lang w:eastAsia="zh-CN"/>
        </w:rPr>
        <w:t>）</w:t>
      </w:r>
      <w:r>
        <w:rPr>
          <w:rFonts w:hint="eastAsia" w:ascii="宋体" w:hAnsi="宋体"/>
        </w:rPr>
        <w:t>；</w:t>
      </w:r>
    </w:p>
    <w:p>
      <w:pPr>
        <w:spacing w:line="360" w:lineRule="exact"/>
        <w:ind w:firstLine="420" w:firstLineChars="200"/>
        <w:rPr>
          <w:rFonts w:ascii="宋体" w:hAnsi="宋体"/>
        </w:rPr>
      </w:pPr>
      <w:r>
        <w:rPr>
          <w:rFonts w:hint="eastAsia" w:ascii="宋体" w:hAnsi="宋体"/>
        </w:rPr>
        <w:t>(2)</w:t>
      </w:r>
      <w:r>
        <w:rPr>
          <w:rFonts w:hint="eastAsia" w:ascii="宋体" w:hAnsi="宋体"/>
          <w:sz w:val="18"/>
          <w:szCs w:val="18"/>
        </w:rPr>
        <w:t>▲</w:t>
      </w:r>
      <w:r>
        <w:rPr>
          <w:rFonts w:hint="eastAsia" w:ascii="宋体" w:hAnsi="宋体"/>
        </w:rPr>
        <w:t>破坏强度要求:提供SGS出具测试方法为GB/T9341-2008的检测报告，测试项目为弯曲模量，检测结果≥2100Mpa，测试项目为悬臂无缺口冲击强度，检测结果≥35KJ/㎡</w:t>
      </w:r>
      <w:r>
        <w:rPr>
          <w:rFonts w:hint="eastAsia" w:ascii="宋体" w:hAnsi="宋体"/>
          <w:lang w:eastAsia="zh-CN"/>
        </w:rPr>
        <w:t>（</w:t>
      </w:r>
      <w:r>
        <w:rPr>
          <w:rFonts w:hint="eastAsia" w:ascii="宋体" w:hAnsi="宋体"/>
        </w:rPr>
        <w:t>提供检测报告复印件并加盖生产厂家公章</w:t>
      </w:r>
      <w:r>
        <w:rPr>
          <w:rFonts w:hint="eastAsia" w:ascii="宋体" w:hAnsi="宋体"/>
          <w:lang w:eastAsia="zh-CN"/>
        </w:rPr>
        <w:t>）</w:t>
      </w:r>
      <w:r>
        <w:rPr>
          <w:rFonts w:hint="eastAsia" w:ascii="宋体" w:hAnsi="宋体"/>
        </w:rPr>
        <w:t>；</w:t>
      </w:r>
    </w:p>
    <w:p>
      <w:pPr>
        <w:spacing w:line="360" w:lineRule="exact"/>
        <w:ind w:firstLine="420" w:firstLineChars="200"/>
        <w:rPr>
          <w:rFonts w:ascii="宋体" w:hAnsi="宋体"/>
        </w:rPr>
      </w:pPr>
      <w:r>
        <w:rPr>
          <w:rFonts w:hint="eastAsia" w:ascii="宋体" w:hAnsi="宋体"/>
        </w:rPr>
        <w:t>(3)</w:t>
      </w:r>
      <w:r>
        <w:rPr>
          <w:rFonts w:hint="eastAsia" w:ascii="宋体" w:hAnsi="宋体"/>
          <w:sz w:val="18"/>
          <w:szCs w:val="18"/>
        </w:rPr>
        <w:t>▲</w:t>
      </w:r>
      <w:r>
        <w:rPr>
          <w:rFonts w:hint="eastAsia" w:ascii="宋体" w:hAnsi="宋体"/>
        </w:rPr>
        <w:t>耐高温要求:提供SGS出具测试方法为GB/T1633-2000的检测报告，测试项目为维卡软化温度，且检测结果为≥80℃</w:t>
      </w:r>
      <w:r>
        <w:rPr>
          <w:rFonts w:hint="eastAsia" w:ascii="宋体" w:hAnsi="宋体"/>
          <w:lang w:eastAsia="zh-CN"/>
        </w:rPr>
        <w:t>（</w:t>
      </w:r>
      <w:r>
        <w:rPr>
          <w:rFonts w:hint="eastAsia" w:ascii="宋体" w:hAnsi="宋体"/>
        </w:rPr>
        <w:t>提供检测报告复印件并加盖生产厂家公章</w:t>
      </w:r>
      <w:r>
        <w:rPr>
          <w:rFonts w:hint="eastAsia" w:ascii="宋体" w:hAnsi="宋体"/>
          <w:lang w:eastAsia="zh-CN"/>
        </w:rPr>
        <w:t>）</w:t>
      </w:r>
      <w:r>
        <w:rPr>
          <w:rFonts w:hint="eastAsia" w:ascii="宋体" w:hAnsi="宋体"/>
        </w:rPr>
        <w:t>；</w:t>
      </w:r>
    </w:p>
    <w:p>
      <w:pPr>
        <w:spacing w:line="360" w:lineRule="exact"/>
        <w:ind w:firstLine="420" w:firstLineChars="200"/>
        <w:rPr>
          <w:rFonts w:hint="eastAsia" w:ascii="宋体" w:hAnsi="宋体"/>
        </w:rPr>
      </w:pPr>
      <w:r>
        <w:rPr>
          <w:rFonts w:hint="eastAsia" w:ascii="宋体" w:hAnsi="宋体"/>
        </w:rPr>
        <w:t>(4)</w:t>
      </w:r>
      <w:r>
        <w:rPr>
          <w:rFonts w:hint="eastAsia" w:ascii="宋体" w:hAnsi="宋体"/>
          <w:sz w:val="18"/>
          <w:szCs w:val="18"/>
        </w:rPr>
        <w:t>▲</w:t>
      </w:r>
      <w:r>
        <w:rPr>
          <w:rFonts w:hint="eastAsia" w:ascii="宋体" w:hAnsi="宋体"/>
        </w:rPr>
        <w:t>提供生产厂家对本项目支持的授权委托书原件。</w:t>
      </w:r>
    </w:p>
    <w:p>
      <w:pPr>
        <w:spacing w:line="360" w:lineRule="exact"/>
        <w:ind w:firstLine="420" w:firstLineChars="200"/>
        <w:rPr>
          <w:rFonts w:hint="eastAsia" w:eastAsia="宋体"/>
          <w:color w:val="auto"/>
          <w:lang w:eastAsia="zh-CN"/>
        </w:rPr>
      </w:pPr>
      <w:r>
        <w:rPr>
          <w:rFonts w:hint="eastAsia" w:ascii="宋体" w:hAnsi="宋体"/>
          <w:color w:val="auto"/>
        </w:rPr>
        <w:t>(</w:t>
      </w:r>
      <w:r>
        <w:rPr>
          <w:rFonts w:hint="eastAsia" w:ascii="宋体" w:hAnsi="宋体"/>
          <w:color w:val="auto"/>
          <w:lang w:val="en-US" w:eastAsia="zh-CN"/>
        </w:rPr>
        <w:t>5</w:t>
      </w:r>
      <w:r>
        <w:rPr>
          <w:rFonts w:hint="eastAsia" w:ascii="宋体" w:hAnsi="宋体"/>
          <w:color w:val="auto"/>
        </w:rPr>
        <w:t>)</w:t>
      </w:r>
      <w:r>
        <w:rPr>
          <w:rFonts w:hint="eastAsia" w:ascii="宋体" w:hAnsi="宋体"/>
          <w:color w:val="auto"/>
          <w:sz w:val="18"/>
          <w:szCs w:val="18"/>
        </w:rPr>
        <w:t>▲</w:t>
      </w:r>
      <w:r>
        <w:rPr>
          <w:rFonts w:hint="eastAsia" w:ascii="宋体" w:hAnsi="宋体"/>
          <w:color w:val="auto"/>
          <w:lang w:eastAsia="zh-CN"/>
        </w:rPr>
        <w:t>风管阻燃性测试：垂直燃烧，测试方法UL94-2013Rev.9-2018第8节，阻燃等级需达到</w:t>
      </w:r>
      <w:r>
        <w:rPr>
          <w:rFonts w:hint="eastAsia"/>
          <w:b/>
          <w:bCs/>
          <w:color w:val="auto"/>
        </w:rPr>
        <w:t>V0级</w:t>
      </w:r>
      <w:r>
        <w:rPr>
          <w:rFonts w:hint="eastAsia" w:ascii="宋体" w:hAnsi="宋体"/>
          <w:color w:val="auto"/>
          <w:lang w:eastAsia="zh-CN"/>
        </w:rPr>
        <w:t>；（需提供第三方检测机构的阻燃板检测报告），管道进场安装前需取样送检，达到</w:t>
      </w:r>
      <w:r>
        <w:rPr>
          <w:rFonts w:hint="eastAsia"/>
          <w:b/>
          <w:bCs/>
          <w:color w:val="auto"/>
        </w:rPr>
        <w:t>V0级</w:t>
      </w:r>
      <w:r>
        <w:rPr>
          <w:rFonts w:hint="eastAsia" w:ascii="宋体" w:hAnsi="宋体"/>
          <w:color w:val="auto"/>
          <w:lang w:eastAsia="zh-CN"/>
        </w:rPr>
        <w:t>检测标准</w:t>
      </w:r>
    </w:p>
    <w:p>
      <w:pPr>
        <w:spacing w:line="360" w:lineRule="exact"/>
        <w:ind w:firstLine="422" w:firstLineChars="200"/>
        <w:outlineLvl w:val="2"/>
        <w:rPr>
          <w:rFonts w:ascii="宋体" w:hAnsi="宋体"/>
          <w:b/>
        </w:rPr>
      </w:pPr>
      <w:r>
        <w:rPr>
          <w:rFonts w:hint="eastAsia" w:ascii="宋体" w:hAnsi="宋体"/>
          <w:b/>
        </w:rPr>
        <w:t>2.6.系统电气控制柜：</w:t>
      </w:r>
    </w:p>
    <w:p>
      <w:pPr>
        <w:spacing w:line="360" w:lineRule="exact"/>
        <w:ind w:firstLine="420" w:firstLineChars="200"/>
        <w:rPr>
          <w:rFonts w:ascii="宋体" w:hAnsi="宋体"/>
        </w:rPr>
      </w:pPr>
      <w:r>
        <w:rPr>
          <w:rFonts w:hint="eastAsia" w:ascii="宋体" w:hAnsi="宋体"/>
        </w:rPr>
        <w:t>2.6.1设备内元器件应有“3C”认证；三箱内一次元器件（断路器、接触器、热继电器、双电源切换开关、浪涌保护器），所有一次元器件的品牌要统一；</w:t>
      </w:r>
    </w:p>
    <w:p>
      <w:pPr>
        <w:spacing w:line="360" w:lineRule="exact"/>
        <w:ind w:firstLine="420" w:firstLineChars="200"/>
        <w:rPr>
          <w:rFonts w:ascii="宋体" w:hAnsi="宋体"/>
        </w:rPr>
      </w:pPr>
      <w:r>
        <w:rPr>
          <w:rFonts w:hint="eastAsia" w:ascii="宋体" w:hAnsi="宋体"/>
        </w:rPr>
        <w:t>2.6.2箱体材料采用304不锈钢材质，箱体板材厚度不小于1.0mm；箱体为全封闭型，箱门上须装防尘垫，装以锁扣或其他相同经批准的锁。整个箱体的防护等级不低于IP41；</w:t>
      </w:r>
    </w:p>
    <w:p>
      <w:pPr>
        <w:spacing w:line="360" w:lineRule="exact"/>
        <w:ind w:firstLine="420" w:firstLineChars="200"/>
        <w:rPr>
          <w:rFonts w:ascii="宋体" w:hAnsi="宋体"/>
        </w:rPr>
      </w:pPr>
      <w:r>
        <w:rPr>
          <w:rFonts w:hint="eastAsia" w:ascii="宋体" w:hAnsi="宋体"/>
        </w:rPr>
        <w:t>2.6.3箱内设备包括所规定额定电流的镀锡铜母线，以及足够截面的多接线端子的中性线和地线母线；</w:t>
      </w:r>
    </w:p>
    <w:p>
      <w:pPr>
        <w:spacing w:line="360" w:lineRule="exact"/>
        <w:ind w:firstLine="420" w:firstLineChars="200"/>
        <w:rPr>
          <w:rFonts w:ascii="宋体" w:hAnsi="宋体"/>
        </w:rPr>
      </w:pPr>
      <w:r>
        <w:rPr>
          <w:rFonts w:hint="eastAsia" w:ascii="宋体" w:hAnsi="宋体"/>
        </w:rPr>
        <w:t>2.6.4为了使带电部分和电线在打开前门板时能够完全屏蔽，所有在箱内的电线、母线等都应加以遮护；</w:t>
      </w:r>
    </w:p>
    <w:p>
      <w:pPr>
        <w:spacing w:line="360" w:lineRule="exact"/>
        <w:ind w:firstLine="420" w:firstLineChars="200"/>
        <w:rPr>
          <w:rFonts w:ascii="宋体" w:hAnsi="宋体"/>
        </w:rPr>
      </w:pPr>
      <w:r>
        <w:rPr>
          <w:rFonts w:hint="eastAsia" w:ascii="宋体" w:hAnsi="宋体"/>
        </w:rPr>
        <w:t>2.6.5配置一个接地端子，使箱体可以接地。装有二次元件的箱门应通过软编制铜带与接地端子相连。</w:t>
      </w:r>
    </w:p>
    <w:p>
      <w:pPr>
        <w:spacing w:line="360" w:lineRule="exact"/>
        <w:ind w:firstLine="422" w:firstLineChars="200"/>
        <w:outlineLvl w:val="2"/>
        <w:rPr>
          <w:rFonts w:ascii="宋体" w:hAnsi="宋体"/>
          <w:b/>
        </w:rPr>
      </w:pPr>
      <w:r>
        <w:rPr>
          <w:rFonts w:hint="eastAsia" w:ascii="宋体" w:hAnsi="宋体"/>
          <w:b/>
        </w:rPr>
        <w:t>2.7.废气处理设备：</w:t>
      </w:r>
    </w:p>
    <w:p>
      <w:pPr>
        <w:spacing w:line="360" w:lineRule="exact"/>
        <w:ind w:firstLine="420" w:firstLineChars="200"/>
        <w:rPr>
          <w:rFonts w:ascii="宋体" w:hAnsi="宋体"/>
        </w:rPr>
      </w:pPr>
      <w:r>
        <w:rPr>
          <w:rFonts w:hint="eastAsia" w:ascii="宋体" w:hAnsi="宋体"/>
        </w:rPr>
        <w:t>2.7.1总体功能要求:</w:t>
      </w:r>
    </w:p>
    <w:p>
      <w:pPr>
        <w:spacing w:line="360" w:lineRule="exact"/>
        <w:ind w:firstLine="420" w:firstLineChars="200"/>
        <w:rPr>
          <w:rFonts w:ascii="宋体" w:hAnsi="宋体"/>
        </w:rPr>
      </w:pPr>
      <w:r>
        <w:rPr>
          <w:rFonts w:hint="eastAsia" w:ascii="宋体" w:hAnsi="宋体"/>
        </w:rPr>
        <w:t>(1</w:t>
      </w:r>
      <w:r>
        <w:rPr>
          <w:rFonts w:hint="eastAsia" w:ascii="宋体" w:hAnsi="宋体"/>
          <w:lang w:eastAsia="zh-CN"/>
        </w:rPr>
        <w:t>)</w:t>
      </w:r>
      <w:r>
        <w:rPr>
          <w:rFonts w:hint="eastAsia" w:ascii="宋体" w:hAnsi="宋体"/>
        </w:rPr>
        <w:t>本项目需进行处理的排风系统排放废气类型为混合废气。因此不能简单统一采用一种方法来处理，针对不同类型的废气应采用合适的处理方式和装置</w:t>
      </w:r>
      <w:r>
        <w:rPr>
          <w:rFonts w:hint="eastAsia" w:ascii="宋体" w:hAnsi="宋体"/>
          <w:lang w:eastAsia="zh-CN"/>
        </w:rPr>
        <w:t>（</w:t>
      </w:r>
      <w:r>
        <w:rPr>
          <w:rFonts w:hint="eastAsia" w:ascii="宋体" w:hAnsi="宋体"/>
        </w:rPr>
        <w:t>采用混合废气处理设备</w:t>
      </w:r>
      <w:r>
        <w:rPr>
          <w:rFonts w:hint="eastAsia" w:ascii="宋体" w:hAnsi="宋体"/>
          <w:lang w:eastAsia="zh-CN"/>
        </w:rPr>
        <w:t>）</w:t>
      </w:r>
      <w:r>
        <w:rPr>
          <w:rFonts w:hint="eastAsia" w:ascii="宋体" w:hAnsi="宋体"/>
        </w:rPr>
        <w:t>；</w:t>
      </w:r>
    </w:p>
    <w:p>
      <w:pPr>
        <w:spacing w:line="360" w:lineRule="exact"/>
        <w:ind w:firstLine="420" w:firstLineChars="200"/>
        <w:rPr>
          <w:rFonts w:ascii="宋体" w:hAnsi="宋体"/>
        </w:rPr>
      </w:pPr>
      <w:r>
        <w:rPr>
          <w:rFonts w:hint="eastAsia" w:ascii="宋体" w:hAnsi="宋体"/>
        </w:rPr>
        <w:t>(2</w:t>
      </w:r>
      <w:r>
        <w:rPr>
          <w:rFonts w:hint="eastAsia" w:ascii="宋体" w:hAnsi="宋体"/>
          <w:lang w:eastAsia="zh-CN"/>
        </w:rPr>
        <w:t>)</w:t>
      </w:r>
      <w:r>
        <w:rPr>
          <w:rFonts w:hint="eastAsia" w:ascii="宋体" w:hAnsi="宋体"/>
        </w:rPr>
        <w:t>废气处理后排放应稳定达到《大气污染物综合排放标准》(GB16297-1996</w:t>
      </w:r>
      <w:r>
        <w:rPr>
          <w:rFonts w:hint="eastAsia" w:ascii="宋体" w:hAnsi="宋体"/>
          <w:lang w:eastAsia="zh-CN"/>
        </w:rPr>
        <w:t>)</w:t>
      </w:r>
      <w:r>
        <w:rPr>
          <w:rFonts w:hint="eastAsia" w:ascii="宋体" w:hAnsi="宋体"/>
        </w:rPr>
        <w:t>表2中的二级标准.处理设备应采用分类分级组合处理工艺，各级处理功能明确，污染物去除针对性强。具有全流程压差在线监测，尾气排放TVOC在线超标报警功能。废气处理过程必须常温、常压、稳定，无剧烈的能量转换，不产生二次污染；</w:t>
      </w:r>
    </w:p>
    <w:p>
      <w:pPr>
        <w:spacing w:line="360" w:lineRule="exact"/>
        <w:ind w:firstLine="420" w:firstLineChars="200"/>
        <w:rPr>
          <w:rFonts w:ascii="宋体" w:hAnsi="宋体"/>
        </w:rPr>
      </w:pPr>
      <w:r>
        <w:rPr>
          <w:rFonts w:hint="eastAsia" w:ascii="宋体" w:hAnsi="宋体"/>
        </w:rPr>
        <w:t>(3</w:t>
      </w:r>
      <w:r>
        <w:rPr>
          <w:rFonts w:hint="eastAsia" w:ascii="宋体" w:hAnsi="宋体"/>
          <w:lang w:eastAsia="zh-CN"/>
        </w:rPr>
        <w:t>)</w:t>
      </w:r>
      <w:r>
        <w:rPr>
          <w:rFonts w:hint="eastAsia" w:ascii="宋体" w:hAnsi="宋体"/>
        </w:rPr>
        <w:t>设备处理工艺流程：废气→初效过滤单元→无机处理单元→有机处理单元→高空排放；</w:t>
      </w:r>
    </w:p>
    <w:p>
      <w:pPr>
        <w:spacing w:line="360" w:lineRule="exact"/>
        <w:ind w:firstLine="420" w:firstLineChars="200"/>
        <w:rPr>
          <w:rFonts w:ascii="宋体" w:hAnsi="宋体"/>
        </w:rPr>
      </w:pPr>
      <w:r>
        <w:rPr>
          <w:rFonts w:hint="eastAsia" w:ascii="宋体" w:hAnsi="宋体"/>
        </w:rPr>
        <w:t xml:space="preserve">2.7.2设备技术参数要求： </w:t>
      </w:r>
    </w:p>
    <w:p>
      <w:pPr>
        <w:spacing w:line="360" w:lineRule="exact"/>
        <w:ind w:firstLine="420" w:firstLineChars="200"/>
        <w:rPr>
          <w:rFonts w:ascii="宋体" w:hAnsi="宋体"/>
          <w:szCs w:val="21"/>
        </w:rPr>
      </w:pPr>
      <w:r>
        <w:rPr>
          <w:rFonts w:hint="eastAsia" w:ascii="宋体" w:hAnsi="宋体"/>
          <w:szCs w:val="21"/>
        </w:rPr>
        <w:t>(1)</w:t>
      </w:r>
      <w:r>
        <w:rPr>
          <w:rFonts w:hint="eastAsia" w:ascii="宋体" w:hAnsi="宋体"/>
          <w:color w:val="000000"/>
          <w:sz w:val="18"/>
          <w:szCs w:val="18"/>
        </w:rPr>
        <w:t>▲</w:t>
      </w:r>
      <w:r>
        <w:rPr>
          <w:rFonts w:hint="eastAsia" w:ascii="宋体" w:hAnsi="宋体"/>
          <w:kern w:val="0"/>
          <w:szCs w:val="21"/>
        </w:rPr>
        <w:t>处理设备截面风速≤1.5 m/s</w:t>
      </w:r>
      <w:r>
        <w:rPr>
          <w:rFonts w:hint="eastAsia" w:ascii="宋体" w:hAnsi="宋体"/>
          <w:kern w:val="0"/>
          <w:szCs w:val="21"/>
          <w:lang w:eastAsia="zh-CN"/>
        </w:rPr>
        <w:t>，</w:t>
      </w:r>
      <w:r>
        <w:rPr>
          <w:rFonts w:hint="eastAsia" w:ascii="宋体" w:hAnsi="宋体"/>
          <w:kern w:val="0"/>
          <w:szCs w:val="21"/>
        </w:rPr>
        <w:t>总停留时间≥2s</w:t>
      </w:r>
      <w:r>
        <w:rPr>
          <w:rFonts w:hint="eastAsia" w:ascii="宋体" w:hAnsi="宋体"/>
          <w:kern w:val="0"/>
          <w:szCs w:val="21"/>
          <w:lang w:eastAsia="zh-CN"/>
        </w:rPr>
        <w:t>（</w:t>
      </w:r>
      <w:r>
        <w:rPr>
          <w:rFonts w:hint="eastAsia" w:ascii="宋体" w:hAnsi="宋体"/>
          <w:kern w:val="0"/>
          <w:szCs w:val="21"/>
        </w:rPr>
        <w:t>提供计算表并加盖公章</w:t>
      </w:r>
      <w:r>
        <w:rPr>
          <w:rFonts w:hint="eastAsia" w:ascii="宋体" w:hAnsi="宋体"/>
          <w:kern w:val="0"/>
          <w:szCs w:val="21"/>
          <w:lang w:eastAsia="zh-CN"/>
        </w:rPr>
        <w:t>）</w:t>
      </w:r>
      <w:r>
        <w:rPr>
          <w:rFonts w:hint="eastAsia" w:ascii="宋体" w:hAnsi="宋体"/>
          <w:szCs w:val="21"/>
        </w:rPr>
        <w:t>；</w:t>
      </w:r>
    </w:p>
    <w:p>
      <w:pPr>
        <w:spacing w:line="360" w:lineRule="exact"/>
        <w:ind w:firstLine="420" w:firstLineChars="200"/>
        <w:rPr>
          <w:rFonts w:ascii="宋体" w:hAnsi="宋体"/>
          <w:szCs w:val="21"/>
        </w:rPr>
      </w:pPr>
      <w:r>
        <w:rPr>
          <w:rFonts w:hint="eastAsia" w:ascii="宋体" w:hAnsi="宋体"/>
          <w:szCs w:val="21"/>
        </w:rPr>
        <w:t>(2)</w:t>
      </w:r>
      <w:r>
        <w:rPr>
          <w:rFonts w:hint="eastAsia" w:ascii="宋体" w:hAnsi="宋体"/>
          <w:sz w:val="18"/>
          <w:szCs w:val="18"/>
        </w:rPr>
        <w:t>★</w:t>
      </w:r>
      <w:r>
        <w:rPr>
          <w:rFonts w:hint="eastAsia" w:ascii="宋体" w:hAnsi="宋体"/>
          <w:szCs w:val="21"/>
        </w:rPr>
        <w:t>初效过滤单元：阻拦过滤大颗粒杂物，滤膜取出吹扫清理后可重复长期使用。无机处理单元：复合吸附剂净化功能。废气中的无机污染物</w:t>
      </w:r>
      <w:r>
        <w:rPr>
          <w:rFonts w:hint="eastAsia" w:ascii="宋体" w:hAnsi="宋体"/>
          <w:szCs w:val="21"/>
          <w:lang w:eastAsia="zh-CN"/>
        </w:rPr>
        <w:t>（</w:t>
      </w:r>
      <w:r>
        <w:rPr>
          <w:rFonts w:hint="eastAsia" w:ascii="宋体" w:hAnsi="宋体"/>
          <w:szCs w:val="21"/>
        </w:rPr>
        <w:t>主要是酸性物质</w:t>
      </w:r>
      <w:r>
        <w:rPr>
          <w:rFonts w:hint="eastAsia" w:ascii="宋体" w:hAnsi="宋体"/>
          <w:szCs w:val="21"/>
          <w:lang w:eastAsia="zh-CN"/>
        </w:rPr>
        <w:t>）</w:t>
      </w:r>
      <w:r>
        <w:rPr>
          <w:rFonts w:hint="eastAsia" w:ascii="宋体" w:hAnsi="宋体"/>
          <w:szCs w:val="21"/>
        </w:rPr>
        <w:t>经过吸附剂吸附生成一种新的中性盐物质而存储于吸附剂结构中。根据显示器指示定期更换吸附剂。有机处理单元：碳基吸附催化氧化技术。利用碳基介质吸附、纳米催化剂催化氧化、碳基介质光催化再生耦合作用分解有机物。填料介质可长期使用；</w:t>
      </w:r>
    </w:p>
    <w:p>
      <w:pPr>
        <w:spacing w:line="360" w:lineRule="exact"/>
        <w:ind w:firstLine="420" w:firstLineChars="200"/>
        <w:rPr>
          <w:rFonts w:ascii="宋体" w:hAnsi="宋体"/>
          <w:color w:val="auto"/>
          <w:szCs w:val="21"/>
        </w:rPr>
      </w:pPr>
      <w:r>
        <w:rPr>
          <w:rFonts w:hint="eastAsia" w:ascii="宋体" w:hAnsi="宋体"/>
          <w:color w:val="auto"/>
          <w:szCs w:val="21"/>
        </w:rPr>
        <w:t>(3)</w:t>
      </w:r>
      <w:r>
        <w:rPr>
          <w:rFonts w:hint="eastAsia" w:ascii="宋体" w:hAnsi="宋体"/>
          <w:color w:val="auto"/>
          <w:sz w:val="18"/>
          <w:szCs w:val="18"/>
        </w:rPr>
        <w:t>▲</w:t>
      </w:r>
      <w:r>
        <w:rPr>
          <w:rFonts w:hint="eastAsia" w:ascii="宋体" w:hAnsi="宋体"/>
          <w:color w:val="auto"/>
          <w:szCs w:val="21"/>
        </w:rPr>
        <w:t>处理设备为卧式结构</w:t>
      </w:r>
      <w:r>
        <w:rPr>
          <w:rFonts w:hint="eastAsia" w:ascii="宋体" w:hAnsi="宋体"/>
          <w:color w:val="auto"/>
          <w:szCs w:val="21"/>
          <w:lang w:eastAsia="zh-CN"/>
        </w:rPr>
        <w:t>，</w:t>
      </w:r>
      <w:r>
        <w:rPr>
          <w:rFonts w:hint="eastAsia" w:ascii="宋体" w:hAnsi="宋体"/>
          <w:color w:val="auto"/>
          <w:szCs w:val="21"/>
        </w:rPr>
        <w:t>箱体材质采用不小于50mm厚双面热镀锌钢板表面喷涂氟碳</w:t>
      </w:r>
      <w:r>
        <w:rPr>
          <w:rFonts w:hint="eastAsia" w:ascii="宋体" w:hAnsi="宋体"/>
          <w:color w:val="auto"/>
          <w:szCs w:val="21"/>
          <w:lang w:eastAsia="zh-CN"/>
        </w:rPr>
        <w:t>（</w:t>
      </w:r>
      <w:r>
        <w:rPr>
          <w:rFonts w:hint="eastAsia" w:ascii="宋体" w:hAnsi="宋体"/>
          <w:color w:val="auto"/>
          <w:szCs w:val="21"/>
        </w:rPr>
        <w:t>PVDF</w:t>
      </w:r>
      <w:r>
        <w:rPr>
          <w:rFonts w:hint="eastAsia" w:ascii="宋体" w:hAnsi="宋体"/>
          <w:color w:val="auto"/>
          <w:szCs w:val="21"/>
          <w:lang w:eastAsia="zh-CN"/>
        </w:rPr>
        <w:t>）</w:t>
      </w:r>
      <w:r>
        <w:rPr>
          <w:rFonts w:hint="eastAsia" w:ascii="宋体" w:hAnsi="宋体"/>
          <w:color w:val="auto"/>
          <w:szCs w:val="21"/>
        </w:rPr>
        <w:t>涂层，芯材采用岩棉的保温材质</w:t>
      </w:r>
      <w:r>
        <w:rPr>
          <w:rFonts w:hint="eastAsia" w:ascii="宋体" w:hAnsi="宋体" w:eastAsia="宋体" w:cs="Times New Roman"/>
          <w:color w:val="auto"/>
          <w:lang w:eastAsia="zh-CN"/>
        </w:rPr>
        <w:t>（</w:t>
      </w:r>
      <w:r>
        <w:rPr>
          <w:rFonts w:hint="eastAsia" w:ascii="宋体" w:hAnsi="宋体" w:eastAsia="宋体" w:cs="Times New Roman"/>
          <w:color w:val="auto"/>
          <w:lang w:val="en-US" w:eastAsia="zh-CN"/>
        </w:rPr>
        <w:t>箱体材质需满足防腐及阻燃要求，热镀锌钢板厚度满足国标要求，投标单位在投标时需标注使用钢板厚度</w:t>
      </w:r>
      <w:r>
        <w:rPr>
          <w:rFonts w:hint="eastAsia" w:ascii="宋体" w:hAnsi="宋体" w:eastAsia="宋体" w:cs="Times New Roman"/>
          <w:color w:val="auto"/>
          <w:lang w:eastAsia="zh-CN"/>
        </w:rPr>
        <w:t>）</w:t>
      </w:r>
      <w:r>
        <w:rPr>
          <w:rFonts w:hint="eastAsia" w:ascii="宋体" w:hAnsi="宋体"/>
          <w:color w:val="auto"/>
          <w:szCs w:val="21"/>
        </w:rPr>
        <w:t>。设备整体结构必须坚固稳定，设备基础、附属构件及过流部分必须充分防腐</w:t>
      </w:r>
      <w:r>
        <w:rPr>
          <w:rFonts w:hint="eastAsia" w:ascii="宋体" w:hAnsi="宋体"/>
          <w:color w:val="auto"/>
          <w:szCs w:val="21"/>
          <w:lang w:eastAsia="zh-CN"/>
        </w:rPr>
        <w:t>，</w:t>
      </w:r>
      <w:r>
        <w:rPr>
          <w:rFonts w:hint="eastAsia" w:ascii="宋体" w:hAnsi="宋体"/>
          <w:color w:val="auto"/>
          <w:szCs w:val="21"/>
        </w:rPr>
        <w:t>工艺设计满足技术参数功能要求</w:t>
      </w:r>
      <w:r>
        <w:rPr>
          <w:rFonts w:hint="eastAsia" w:ascii="宋体" w:hAnsi="宋体"/>
          <w:color w:val="auto"/>
          <w:szCs w:val="21"/>
          <w:lang w:eastAsia="zh-CN"/>
        </w:rPr>
        <w:t>，</w:t>
      </w:r>
      <w:r>
        <w:rPr>
          <w:rFonts w:hint="eastAsia" w:ascii="宋体" w:hAnsi="宋体"/>
          <w:color w:val="auto"/>
          <w:szCs w:val="21"/>
        </w:rPr>
        <w:t>处理设备要配备检测口；</w:t>
      </w:r>
    </w:p>
    <w:p>
      <w:pPr>
        <w:spacing w:line="360" w:lineRule="exact"/>
        <w:ind w:firstLine="420" w:firstLineChars="200"/>
        <w:rPr>
          <w:rFonts w:ascii="宋体" w:hAnsi="宋体"/>
          <w:szCs w:val="21"/>
        </w:rPr>
      </w:pPr>
      <w:r>
        <w:rPr>
          <w:rFonts w:hint="eastAsia" w:ascii="宋体" w:hAnsi="宋体"/>
          <w:szCs w:val="21"/>
        </w:rPr>
        <w:t>(4)</w:t>
      </w:r>
      <w:r>
        <w:rPr>
          <w:rFonts w:hint="eastAsia" w:ascii="宋体" w:hAnsi="宋体"/>
          <w:color w:val="000000"/>
          <w:sz w:val="18"/>
          <w:szCs w:val="18"/>
        </w:rPr>
        <w:t>▲</w:t>
      </w:r>
      <w:r>
        <w:rPr>
          <w:rFonts w:hint="eastAsia" w:ascii="宋体" w:hAnsi="宋体"/>
          <w:szCs w:val="21"/>
        </w:rPr>
        <w:t>提供排放达到环保验收合格标准的检测报告</w:t>
      </w:r>
      <w:r>
        <w:rPr>
          <w:rFonts w:hint="eastAsia" w:ascii="宋体" w:hAnsi="宋体"/>
          <w:szCs w:val="21"/>
          <w:lang w:eastAsia="zh-CN"/>
        </w:rPr>
        <w:t>（</w:t>
      </w:r>
      <w:r>
        <w:rPr>
          <w:rFonts w:hint="eastAsia" w:ascii="宋体" w:hAnsi="宋体"/>
          <w:szCs w:val="21"/>
        </w:rPr>
        <w:t>提供复印件并加盖生产厂家公章）；</w:t>
      </w:r>
    </w:p>
    <w:p>
      <w:pPr>
        <w:spacing w:line="360" w:lineRule="exact"/>
        <w:ind w:firstLine="420" w:firstLineChars="200"/>
        <w:rPr>
          <w:rFonts w:ascii="宋体" w:hAnsi="宋体"/>
          <w:szCs w:val="21"/>
        </w:rPr>
      </w:pPr>
      <w:r>
        <w:rPr>
          <w:rFonts w:hint="eastAsia" w:ascii="宋体" w:hAnsi="宋体"/>
          <w:szCs w:val="21"/>
        </w:rPr>
        <w:t>(5)</w:t>
      </w:r>
      <w:r>
        <w:rPr>
          <w:rFonts w:hint="eastAsia" w:ascii="宋体" w:hAnsi="宋体"/>
          <w:color w:val="000000"/>
          <w:sz w:val="18"/>
          <w:szCs w:val="18"/>
        </w:rPr>
        <w:t>▲</w:t>
      </w:r>
      <w:r>
        <w:rPr>
          <w:rFonts w:hint="eastAsia" w:ascii="宋体" w:hAnsi="宋体"/>
          <w:szCs w:val="21"/>
        </w:rPr>
        <w:t>提供废气处理设备的检测报告。其中漏风率要求检测结果≤0.4%、噪声要求检测结果≤50dB、静压损失要求检测结果≤300Pa</w:t>
      </w:r>
      <w:r>
        <w:rPr>
          <w:rFonts w:hint="eastAsia" w:ascii="宋体" w:hAnsi="宋体"/>
          <w:szCs w:val="21"/>
          <w:lang w:eastAsia="zh-CN"/>
        </w:rPr>
        <w:t>（</w:t>
      </w:r>
      <w:r>
        <w:rPr>
          <w:rFonts w:hint="eastAsia" w:ascii="宋体" w:hAnsi="宋体"/>
          <w:szCs w:val="21"/>
        </w:rPr>
        <w:t>提供复印件并加盖生产厂家公章</w:t>
      </w:r>
      <w:r>
        <w:rPr>
          <w:rFonts w:hint="eastAsia" w:ascii="宋体" w:hAnsi="宋体"/>
          <w:szCs w:val="21"/>
          <w:lang w:eastAsia="zh-CN"/>
        </w:rPr>
        <w:t>）</w:t>
      </w:r>
      <w:r>
        <w:rPr>
          <w:rFonts w:hint="eastAsia" w:ascii="宋体" w:hAnsi="宋体"/>
          <w:szCs w:val="21"/>
        </w:rPr>
        <w:t>；</w:t>
      </w:r>
    </w:p>
    <w:p>
      <w:pPr>
        <w:spacing w:line="360" w:lineRule="exact"/>
        <w:ind w:firstLine="420" w:firstLineChars="200"/>
        <w:rPr>
          <w:rFonts w:ascii="宋体" w:hAnsi="宋体"/>
          <w:szCs w:val="21"/>
        </w:rPr>
      </w:pPr>
      <w:r>
        <w:rPr>
          <w:rFonts w:hint="eastAsia" w:ascii="宋体" w:hAnsi="宋体"/>
          <w:szCs w:val="21"/>
        </w:rPr>
        <w:t>(6)</w:t>
      </w:r>
      <w:r>
        <w:rPr>
          <w:rFonts w:hint="eastAsia" w:ascii="宋体" w:hAnsi="宋体"/>
          <w:color w:val="000000"/>
          <w:sz w:val="18"/>
          <w:szCs w:val="18"/>
        </w:rPr>
        <w:t>▲</w:t>
      </w:r>
      <w:r>
        <w:rPr>
          <w:rFonts w:hint="eastAsia" w:ascii="宋体" w:hAnsi="宋体"/>
          <w:kern w:val="0"/>
          <w:szCs w:val="21"/>
        </w:rPr>
        <w:t>提供滤料吸附容量、去除率证明材料甲醛吸附率≥50%、</w:t>
      </w:r>
      <w:r>
        <w:rPr>
          <w:rFonts w:hint="eastAsia" w:ascii="宋体" w:hAnsi="宋体"/>
          <w:kern w:val="0"/>
          <w:szCs w:val="21"/>
          <w:lang w:eastAsia="zh-CN"/>
        </w:rPr>
        <w:t>四氯化碳</w:t>
      </w:r>
      <w:r>
        <w:rPr>
          <w:rFonts w:hint="eastAsia" w:ascii="宋体" w:hAnsi="宋体"/>
          <w:kern w:val="0"/>
          <w:szCs w:val="21"/>
        </w:rPr>
        <w:t>吸附率≥65%、甲醛去除率≥85%、</w:t>
      </w:r>
      <w:r>
        <w:rPr>
          <w:rFonts w:hint="eastAsia" w:ascii="宋体" w:hAnsi="宋体"/>
          <w:kern w:val="0"/>
          <w:szCs w:val="21"/>
          <w:lang w:eastAsia="zh-CN"/>
        </w:rPr>
        <w:t>四氯化碳</w:t>
      </w:r>
      <w:r>
        <w:rPr>
          <w:rFonts w:hint="eastAsia" w:ascii="宋体" w:hAnsi="宋体"/>
          <w:kern w:val="0"/>
          <w:szCs w:val="21"/>
        </w:rPr>
        <w:t>去除率≥85%</w:t>
      </w:r>
      <w:r>
        <w:rPr>
          <w:rFonts w:hint="eastAsia" w:ascii="宋体" w:hAnsi="宋体"/>
          <w:kern w:val="0"/>
          <w:szCs w:val="21"/>
          <w:lang w:eastAsia="zh-CN"/>
        </w:rPr>
        <w:t>（</w:t>
      </w:r>
      <w:r>
        <w:rPr>
          <w:rFonts w:hint="eastAsia" w:ascii="宋体" w:hAnsi="宋体"/>
          <w:szCs w:val="21"/>
        </w:rPr>
        <w:t>提供复印件并加盖生产厂家公章</w:t>
      </w:r>
      <w:r>
        <w:rPr>
          <w:rFonts w:hint="eastAsia" w:ascii="宋体" w:hAnsi="宋体"/>
          <w:szCs w:val="21"/>
          <w:lang w:eastAsia="zh-CN"/>
        </w:rPr>
        <w:t>）</w:t>
      </w:r>
      <w:r>
        <w:rPr>
          <w:rFonts w:hint="eastAsia" w:ascii="宋体" w:hAnsi="宋体"/>
          <w:szCs w:val="21"/>
        </w:rPr>
        <w:t>；</w:t>
      </w:r>
    </w:p>
    <w:p>
      <w:pPr>
        <w:spacing w:line="360" w:lineRule="exact"/>
        <w:ind w:firstLine="420" w:firstLineChars="200"/>
        <w:rPr>
          <w:rFonts w:ascii="宋体" w:hAnsi="宋体"/>
          <w:szCs w:val="21"/>
        </w:rPr>
      </w:pPr>
      <w:r>
        <w:rPr>
          <w:rFonts w:hint="eastAsia" w:ascii="宋体" w:hAnsi="宋体"/>
          <w:szCs w:val="21"/>
        </w:rPr>
        <w:t>(7)</w:t>
      </w:r>
      <w:r>
        <w:rPr>
          <w:rFonts w:hint="eastAsia" w:ascii="宋体" w:hAnsi="宋体"/>
          <w:color w:val="000000"/>
          <w:sz w:val="18"/>
          <w:szCs w:val="18"/>
        </w:rPr>
        <w:t>▲</w:t>
      </w:r>
      <w:r>
        <w:rPr>
          <w:rFonts w:hint="eastAsia" w:ascii="宋体" w:hAnsi="宋体"/>
          <w:szCs w:val="21"/>
        </w:rPr>
        <w:t>提供国家认可的第三方检测机构出具的检测报告，检测结果真密度≥1.5g/cm3、甲苯吸附率≥40%、乙醛去除率≥85%</w:t>
      </w:r>
      <w:r>
        <w:rPr>
          <w:rFonts w:hint="eastAsia" w:ascii="宋体" w:hAnsi="宋体"/>
          <w:szCs w:val="21"/>
          <w:lang w:eastAsia="zh-CN"/>
        </w:rPr>
        <w:t>（</w:t>
      </w:r>
      <w:r>
        <w:rPr>
          <w:rFonts w:hint="eastAsia" w:ascii="宋体" w:hAnsi="宋体"/>
          <w:szCs w:val="21"/>
        </w:rPr>
        <w:t>提供复印件并加盖生产厂家公章</w:t>
      </w:r>
      <w:r>
        <w:rPr>
          <w:rFonts w:hint="eastAsia" w:ascii="宋体" w:hAnsi="宋体"/>
          <w:szCs w:val="21"/>
          <w:lang w:eastAsia="zh-CN"/>
        </w:rPr>
        <w:t>）</w:t>
      </w:r>
      <w:r>
        <w:rPr>
          <w:rFonts w:hint="eastAsia" w:ascii="宋体" w:hAnsi="宋体"/>
          <w:szCs w:val="21"/>
        </w:rPr>
        <w:t>；</w:t>
      </w:r>
    </w:p>
    <w:p>
      <w:pPr>
        <w:spacing w:line="360" w:lineRule="exact"/>
        <w:ind w:firstLine="420" w:firstLineChars="200"/>
        <w:rPr>
          <w:rFonts w:ascii="宋体" w:hAnsi="宋体"/>
          <w:szCs w:val="21"/>
        </w:rPr>
      </w:pPr>
      <w:r>
        <w:rPr>
          <w:rFonts w:hint="eastAsia" w:ascii="宋体" w:hAnsi="宋体"/>
          <w:szCs w:val="21"/>
        </w:rPr>
        <w:t>(8)</w:t>
      </w:r>
      <w:r>
        <w:rPr>
          <w:rFonts w:hint="eastAsia" w:ascii="宋体" w:hAnsi="宋体"/>
          <w:color w:val="000000"/>
          <w:sz w:val="18"/>
          <w:szCs w:val="18"/>
        </w:rPr>
        <w:t>▲</w:t>
      </w:r>
      <w:r>
        <w:rPr>
          <w:rFonts w:hint="eastAsia" w:ascii="宋体" w:hAnsi="宋体"/>
          <w:szCs w:val="21"/>
        </w:rPr>
        <w:t>提供国家认可的第三方检测机构出具的检测报告，检测结果</w:t>
      </w:r>
      <w:r>
        <w:rPr>
          <w:rFonts w:hint="eastAsia" w:ascii="宋体" w:hAnsi="宋体"/>
          <w:b/>
          <w:bCs/>
          <w:szCs w:val="21"/>
        </w:rPr>
        <w:t>二</w:t>
      </w:r>
      <w:r>
        <w:rPr>
          <w:rFonts w:hint="eastAsia" w:ascii="宋体" w:hAnsi="宋体"/>
          <w:szCs w:val="21"/>
        </w:rPr>
        <w:t>氧化硫≥90%、氮氧化物≥90%</w:t>
      </w:r>
      <w:r>
        <w:rPr>
          <w:rFonts w:hint="eastAsia" w:ascii="宋体" w:hAnsi="宋体"/>
          <w:szCs w:val="21"/>
          <w:lang w:eastAsia="zh-CN"/>
        </w:rPr>
        <w:t>（</w:t>
      </w:r>
      <w:r>
        <w:rPr>
          <w:rFonts w:hint="eastAsia" w:ascii="宋体" w:hAnsi="宋体"/>
          <w:szCs w:val="21"/>
        </w:rPr>
        <w:t>提供复印件并加盖生产厂家公章</w:t>
      </w:r>
      <w:r>
        <w:rPr>
          <w:rFonts w:hint="eastAsia" w:ascii="宋体" w:hAnsi="宋体"/>
          <w:szCs w:val="21"/>
          <w:lang w:eastAsia="zh-CN"/>
        </w:rPr>
        <w:t>）</w:t>
      </w:r>
      <w:r>
        <w:rPr>
          <w:rFonts w:hint="eastAsia" w:ascii="宋体" w:hAnsi="宋体"/>
          <w:szCs w:val="21"/>
        </w:rPr>
        <w:t>；</w:t>
      </w:r>
    </w:p>
    <w:p>
      <w:pPr>
        <w:snapToGrid w:val="0"/>
        <w:spacing w:line="360" w:lineRule="exact"/>
        <w:ind w:firstLine="420" w:firstLineChars="200"/>
        <w:rPr>
          <w:rFonts w:ascii="宋体" w:hAnsi="宋体" w:cs="Arial"/>
          <w:bCs/>
          <w:color w:val="000000"/>
          <w:szCs w:val="21"/>
        </w:rPr>
      </w:pPr>
      <w:r>
        <w:rPr>
          <w:rFonts w:hint="eastAsia" w:ascii="宋体" w:hAnsi="宋体"/>
          <w:szCs w:val="21"/>
        </w:rPr>
        <w:t>(9)</w:t>
      </w:r>
      <w:r>
        <w:rPr>
          <w:rFonts w:hint="eastAsia" w:ascii="宋体" w:hAnsi="宋体"/>
          <w:color w:val="000000"/>
          <w:sz w:val="18"/>
          <w:szCs w:val="18"/>
        </w:rPr>
        <w:t>▲</w:t>
      </w:r>
      <w:r>
        <w:rPr>
          <w:rFonts w:hint="eastAsia" w:ascii="宋体" w:hAnsi="宋体"/>
          <w:szCs w:val="21"/>
        </w:rPr>
        <w:t>提供国家认可的第三方检测机构出具的检测报告，检测结果硫化氢≥90%、硫酸雾≥85%</w:t>
      </w:r>
      <w:r>
        <w:rPr>
          <w:rFonts w:hint="eastAsia" w:ascii="宋体" w:hAnsi="宋体"/>
          <w:szCs w:val="21"/>
          <w:lang w:eastAsia="zh-CN"/>
        </w:rPr>
        <w:t>（</w:t>
      </w:r>
      <w:r>
        <w:rPr>
          <w:rFonts w:hint="eastAsia" w:ascii="宋体" w:hAnsi="宋体"/>
          <w:szCs w:val="21"/>
        </w:rPr>
        <w:t>提供复印件并加盖生产厂家公章</w:t>
      </w:r>
      <w:r>
        <w:rPr>
          <w:rFonts w:hint="eastAsia" w:ascii="宋体" w:hAnsi="宋体"/>
          <w:szCs w:val="21"/>
          <w:lang w:eastAsia="zh-CN"/>
        </w:rPr>
        <w:t>）</w:t>
      </w:r>
      <w:r>
        <w:rPr>
          <w:rFonts w:hint="eastAsia" w:ascii="宋体" w:hAnsi="宋体"/>
          <w:szCs w:val="21"/>
        </w:rPr>
        <w:t>；</w:t>
      </w:r>
    </w:p>
    <w:p>
      <w:pPr>
        <w:spacing w:line="360" w:lineRule="exact"/>
        <w:ind w:firstLine="420" w:firstLineChars="200"/>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)▲提供生产厂家对本项目支持的授权委托书原件。</w:t>
      </w:r>
    </w:p>
    <w:p>
      <w:pPr>
        <w:spacing w:line="380" w:lineRule="exact"/>
        <w:rPr>
          <w:szCs w:val="21"/>
        </w:rPr>
      </w:pPr>
      <w:r>
        <w:rPr>
          <w:rFonts w:hint="eastAsia" w:ascii="宋体" w:hAnsi="宋体"/>
          <w:b/>
        </w:rPr>
        <w:t>3</w:t>
      </w:r>
      <w:r>
        <w:rPr>
          <w:rFonts w:ascii="宋体" w:hAnsi="宋体"/>
          <w:b/>
        </w:rPr>
        <w:t>.</w:t>
      </w:r>
      <w:r>
        <w:rPr>
          <w:rFonts w:hint="eastAsia" w:ascii="宋体" w:hAnsi="宋体"/>
          <w:b/>
        </w:rPr>
        <w:t>品牌建议推荐表：</w:t>
      </w:r>
    </w:p>
    <w:tbl>
      <w:tblPr>
        <w:tblStyle w:val="13"/>
        <w:tblW w:w="74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8"/>
        <w:gridCol w:w="2693"/>
        <w:gridCol w:w="38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88" w:type="dxa"/>
            <w:tcBorders>
              <w:top w:val="single" w:color="000000" w:sz="4" w:space="0"/>
              <w:left w:val="single" w:color="000000" w:sz="4" w:space="0"/>
              <w:bottom w:val="single" w:color="000000" w:sz="4" w:space="0"/>
              <w:right w:val="single" w:color="000000" w:sz="4" w:space="0"/>
            </w:tcBorders>
            <w:tcMar>
              <w:top w:w="0" w:type="dxa"/>
              <w:left w:w="45" w:type="dxa"/>
              <w:bottom w:w="0" w:type="dxa"/>
              <w:right w:w="45" w:type="dxa"/>
            </w:tcMar>
            <w:vAlign w:val="center"/>
          </w:tcPr>
          <w:p>
            <w:pPr>
              <w:spacing w:line="400" w:lineRule="exact"/>
              <w:jc w:val="center"/>
              <w:rPr>
                <w:rFonts w:ascii="宋体" w:hAnsi="宋体"/>
                <w:bCs/>
                <w:color w:val="auto"/>
              </w:rPr>
            </w:pPr>
            <w:r>
              <w:rPr>
                <w:rFonts w:hint="eastAsia" w:ascii="宋体" w:hAnsi="宋体"/>
                <w:bCs/>
                <w:color w:val="auto"/>
              </w:rPr>
              <w:t>序号</w:t>
            </w:r>
          </w:p>
        </w:tc>
        <w:tc>
          <w:tcPr>
            <w:tcW w:w="2693" w:type="dxa"/>
            <w:tcBorders>
              <w:top w:val="single" w:color="000000" w:sz="4" w:space="0"/>
              <w:left w:val="single" w:color="000000" w:sz="4" w:space="0"/>
              <w:bottom w:val="single" w:color="000000" w:sz="4" w:space="0"/>
              <w:right w:val="single" w:color="000000" w:sz="4" w:space="0"/>
            </w:tcBorders>
            <w:tcMar>
              <w:top w:w="0" w:type="dxa"/>
              <w:left w:w="45" w:type="dxa"/>
              <w:bottom w:w="0" w:type="dxa"/>
              <w:right w:w="45" w:type="dxa"/>
            </w:tcMar>
            <w:vAlign w:val="center"/>
          </w:tcPr>
          <w:p>
            <w:pPr>
              <w:spacing w:line="400" w:lineRule="exact"/>
              <w:jc w:val="center"/>
              <w:rPr>
                <w:rFonts w:ascii="宋体" w:hAnsi="宋体"/>
                <w:bCs/>
                <w:color w:val="auto"/>
              </w:rPr>
            </w:pPr>
            <w:r>
              <w:rPr>
                <w:rFonts w:hint="eastAsia" w:ascii="宋体" w:hAnsi="宋体"/>
                <w:bCs/>
                <w:color w:val="auto"/>
              </w:rPr>
              <w:t>部件名称</w:t>
            </w:r>
          </w:p>
        </w:tc>
        <w:tc>
          <w:tcPr>
            <w:tcW w:w="3802" w:type="dxa"/>
            <w:tcBorders>
              <w:top w:val="single" w:color="000000" w:sz="4" w:space="0"/>
              <w:left w:val="single" w:color="000000" w:sz="4" w:space="0"/>
              <w:bottom w:val="single" w:color="000000" w:sz="4" w:space="0"/>
              <w:right w:val="single" w:color="000000" w:sz="4" w:space="0"/>
            </w:tcBorders>
            <w:tcMar>
              <w:top w:w="0" w:type="dxa"/>
              <w:left w:w="45" w:type="dxa"/>
              <w:bottom w:w="0" w:type="dxa"/>
              <w:right w:w="45" w:type="dxa"/>
            </w:tcMar>
            <w:vAlign w:val="center"/>
          </w:tcPr>
          <w:p>
            <w:pPr>
              <w:spacing w:line="400" w:lineRule="exact"/>
              <w:jc w:val="center"/>
              <w:rPr>
                <w:rFonts w:ascii="宋体" w:hAnsi="宋体"/>
                <w:bCs/>
                <w:color w:val="auto"/>
              </w:rPr>
            </w:pPr>
            <w:r>
              <w:rPr>
                <w:rFonts w:hint="eastAsia" w:ascii="宋体" w:hAnsi="宋体"/>
                <w:bCs/>
                <w:color w:val="auto"/>
              </w:rPr>
              <w:t>推荐品牌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988" w:type="dxa"/>
            <w:tcBorders>
              <w:top w:val="single" w:color="000000" w:sz="4" w:space="0"/>
              <w:left w:val="single" w:color="000000" w:sz="4" w:space="0"/>
              <w:bottom w:val="single" w:color="000000" w:sz="4" w:space="0"/>
              <w:right w:val="single" w:color="000000" w:sz="4" w:space="0"/>
            </w:tcBorders>
            <w:tcMar>
              <w:top w:w="0" w:type="dxa"/>
              <w:left w:w="45" w:type="dxa"/>
              <w:bottom w:w="0" w:type="dxa"/>
              <w:right w:w="45" w:type="dxa"/>
            </w:tcMar>
            <w:vAlign w:val="center"/>
          </w:tcPr>
          <w:p>
            <w:pPr>
              <w:spacing w:line="400" w:lineRule="exact"/>
              <w:jc w:val="center"/>
              <w:rPr>
                <w:rFonts w:ascii="宋体" w:hAnsi="宋体"/>
                <w:color w:val="auto"/>
              </w:rPr>
            </w:pPr>
            <w:r>
              <w:rPr>
                <w:rFonts w:hint="eastAsia" w:ascii="宋体" w:hAnsi="宋体"/>
                <w:color w:val="auto"/>
              </w:rPr>
              <w:t>1</w:t>
            </w:r>
          </w:p>
        </w:tc>
        <w:tc>
          <w:tcPr>
            <w:tcW w:w="2693" w:type="dxa"/>
            <w:tcBorders>
              <w:top w:val="single" w:color="000000" w:sz="4" w:space="0"/>
              <w:left w:val="single" w:color="000000" w:sz="4" w:space="0"/>
              <w:bottom w:val="single" w:color="000000" w:sz="4" w:space="0"/>
              <w:right w:val="single" w:color="000000" w:sz="4" w:space="0"/>
            </w:tcBorders>
            <w:tcMar>
              <w:top w:w="0" w:type="dxa"/>
              <w:left w:w="45" w:type="dxa"/>
              <w:bottom w:w="0" w:type="dxa"/>
              <w:right w:w="45" w:type="dxa"/>
            </w:tcMar>
            <w:vAlign w:val="center"/>
          </w:tcPr>
          <w:p>
            <w:pPr>
              <w:widowControl/>
              <w:adjustRightInd w:val="0"/>
              <w:snapToGrid w:val="0"/>
              <w:spacing w:line="400" w:lineRule="exact"/>
              <w:jc w:val="center"/>
              <w:textAlignment w:val="center"/>
              <w:rPr>
                <w:rFonts w:ascii="宋体" w:hAnsi="宋体"/>
                <w:bCs/>
                <w:color w:val="auto"/>
                <w:kern w:val="0"/>
              </w:rPr>
            </w:pPr>
            <w:r>
              <w:rPr>
                <w:rFonts w:hint="eastAsia" w:ascii="宋体" w:hAnsi="宋体"/>
                <w:bCs/>
                <w:color w:val="auto"/>
                <w:kern w:val="0"/>
              </w:rPr>
              <w:t>热镀锌工字钢</w:t>
            </w:r>
          </w:p>
        </w:tc>
        <w:tc>
          <w:tcPr>
            <w:tcW w:w="3802" w:type="dxa"/>
            <w:tcBorders>
              <w:top w:val="single" w:color="000000" w:sz="4" w:space="0"/>
              <w:left w:val="single" w:color="000000" w:sz="4" w:space="0"/>
              <w:bottom w:val="single" w:color="000000" w:sz="4" w:space="0"/>
              <w:right w:val="single" w:color="000000" w:sz="4" w:space="0"/>
            </w:tcBorders>
            <w:tcMar>
              <w:top w:w="0" w:type="dxa"/>
              <w:left w:w="45" w:type="dxa"/>
              <w:bottom w:w="0" w:type="dxa"/>
              <w:right w:w="45" w:type="dxa"/>
            </w:tcMar>
            <w:vAlign w:val="center"/>
          </w:tcPr>
          <w:p>
            <w:pPr>
              <w:widowControl/>
              <w:adjustRightInd w:val="0"/>
              <w:snapToGrid w:val="0"/>
              <w:spacing w:line="400" w:lineRule="exact"/>
              <w:jc w:val="center"/>
              <w:textAlignment w:val="center"/>
              <w:rPr>
                <w:rFonts w:ascii="宋体" w:hAnsi="宋体"/>
                <w:color w:val="auto"/>
              </w:rPr>
            </w:pPr>
            <w:r>
              <w:rPr>
                <w:rFonts w:hint="eastAsia" w:ascii="宋体" w:hAnsi="宋体"/>
                <w:color w:val="auto"/>
              </w:rPr>
              <w:t>宝武、鞍钢、沙钢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988" w:type="dxa"/>
            <w:tcBorders>
              <w:top w:val="single" w:color="000000" w:sz="4" w:space="0"/>
              <w:left w:val="single" w:color="000000" w:sz="4" w:space="0"/>
              <w:bottom w:val="single" w:color="000000" w:sz="4" w:space="0"/>
              <w:right w:val="single" w:color="000000" w:sz="4" w:space="0"/>
            </w:tcBorders>
            <w:tcMar>
              <w:top w:w="0" w:type="dxa"/>
              <w:left w:w="45" w:type="dxa"/>
              <w:bottom w:w="0" w:type="dxa"/>
              <w:right w:w="45" w:type="dxa"/>
            </w:tcMar>
            <w:vAlign w:val="center"/>
          </w:tcPr>
          <w:p>
            <w:pPr>
              <w:spacing w:line="400" w:lineRule="exact"/>
              <w:jc w:val="center"/>
              <w:rPr>
                <w:rFonts w:ascii="宋体" w:hAnsi="宋体"/>
                <w:color w:val="auto"/>
              </w:rPr>
            </w:pPr>
            <w:r>
              <w:rPr>
                <w:rFonts w:ascii="宋体" w:hAnsi="宋体"/>
                <w:color w:val="auto"/>
              </w:rPr>
              <w:t>2</w:t>
            </w:r>
          </w:p>
        </w:tc>
        <w:tc>
          <w:tcPr>
            <w:tcW w:w="2693" w:type="dxa"/>
            <w:tcBorders>
              <w:top w:val="single" w:color="000000" w:sz="4" w:space="0"/>
              <w:left w:val="single" w:color="000000" w:sz="4" w:space="0"/>
              <w:bottom w:val="single" w:color="000000" w:sz="4" w:space="0"/>
              <w:right w:val="single" w:color="000000" w:sz="4" w:space="0"/>
            </w:tcBorders>
            <w:tcMar>
              <w:top w:w="0" w:type="dxa"/>
              <w:left w:w="45" w:type="dxa"/>
              <w:bottom w:w="0" w:type="dxa"/>
              <w:right w:w="45" w:type="dxa"/>
            </w:tcMar>
            <w:vAlign w:val="center"/>
          </w:tcPr>
          <w:p>
            <w:pPr>
              <w:widowControl/>
              <w:adjustRightInd w:val="0"/>
              <w:snapToGrid w:val="0"/>
              <w:spacing w:line="400" w:lineRule="exact"/>
              <w:jc w:val="center"/>
              <w:textAlignment w:val="center"/>
              <w:rPr>
                <w:rFonts w:ascii="宋体" w:hAnsi="宋体"/>
                <w:bCs/>
                <w:color w:val="auto"/>
                <w:kern w:val="0"/>
              </w:rPr>
            </w:pPr>
            <w:r>
              <w:rPr>
                <w:rFonts w:hint="eastAsia" w:ascii="宋体" w:hAnsi="宋体"/>
                <w:bCs/>
                <w:color w:val="auto"/>
                <w:kern w:val="0"/>
              </w:rPr>
              <w:t>玻璃钢变频离心风机</w:t>
            </w:r>
          </w:p>
        </w:tc>
        <w:tc>
          <w:tcPr>
            <w:tcW w:w="3802" w:type="dxa"/>
            <w:tcBorders>
              <w:top w:val="single" w:color="000000" w:sz="4" w:space="0"/>
              <w:left w:val="single" w:color="000000" w:sz="4" w:space="0"/>
              <w:bottom w:val="single" w:color="000000" w:sz="4" w:space="0"/>
              <w:right w:val="single" w:color="000000" w:sz="4" w:space="0"/>
            </w:tcBorders>
            <w:tcMar>
              <w:top w:w="0" w:type="dxa"/>
              <w:left w:w="45" w:type="dxa"/>
              <w:bottom w:w="0" w:type="dxa"/>
              <w:right w:w="45" w:type="dxa"/>
            </w:tcMar>
            <w:vAlign w:val="center"/>
          </w:tcPr>
          <w:p>
            <w:pPr>
              <w:widowControl/>
              <w:adjustRightInd w:val="0"/>
              <w:snapToGrid w:val="0"/>
              <w:spacing w:line="400" w:lineRule="exact"/>
              <w:jc w:val="center"/>
              <w:textAlignment w:val="center"/>
              <w:rPr>
                <w:rFonts w:ascii="宋体" w:hAnsi="宋体"/>
                <w:bCs/>
                <w:color w:val="auto"/>
              </w:rPr>
            </w:pPr>
            <w:r>
              <w:rPr>
                <w:rFonts w:hint="eastAsia" w:ascii="宋体" w:hAnsi="宋体"/>
                <w:color w:val="auto"/>
              </w:rPr>
              <w:t>顶裕、磐力、双城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988" w:type="dxa"/>
            <w:tcBorders>
              <w:top w:val="single" w:color="000000" w:sz="4" w:space="0"/>
              <w:left w:val="single" w:color="000000" w:sz="4" w:space="0"/>
              <w:bottom w:val="single" w:color="000000" w:sz="4" w:space="0"/>
              <w:right w:val="single" w:color="000000" w:sz="4" w:space="0"/>
            </w:tcBorders>
            <w:tcMar>
              <w:top w:w="0" w:type="dxa"/>
              <w:left w:w="45" w:type="dxa"/>
              <w:bottom w:w="0" w:type="dxa"/>
              <w:right w:w="45" w:type="dxa"/>
            </w:tcMar>
            <w:vAlign w:val="center"/>
          </w:tcPr>
          <w:p>
            <w:pPr>
              <w:spacing w:line="400" w:lineRule="exact"/>
              <w:jc w:val="center"/>
              <w:rPr>
                <w:rFonts w:ascii="宋体" w:hAnsi="宋体"/>
                <w:color w:val="auto"/>
              </w:rPr>
            </w:pPr>
            <w:r>
              <w:rPr>
                <w:rFonts w:hint="eastAsia" w:ascii="宋体" w:hAnsi="宋体"/>
                <w:color w:val="auto"/>
              </w:rPr>
              <w:t>3</w:t>
            </w:r>
          </w:p>
        </w:tc>
        <w:tc>
          <w:tcPr>
            <w:tcW w:w="2693" w:type="dxa"/>
            <w:tcBorders>
              <w:top w:val="single" w:color="000000" w:sz="4" w:space="0"/>
              <w:left w:val="single" w:color="000000" w:sz="4" w:space="0"/>
              <w:bottom w:val="single" w:color="000000" w:sz="4" w:space="0"/>
              <w:right w:val="single" w:color="000000" w:sz="4" w:space="0"/>
            </w:tcBorders>
            <w:tcMar>
              <w:top w:w="0" w:type="dxa"/>
              <w:left w:w="45" w:type="dxa"/>
              <w:bottom w:w="0" w:type="dxa"/>
              <w:right w:w="45" w:type="dxa"/>
            </w:tcMar>
            <w:vAlign w:val="center"/>
          </w:tcPr>
          <w:p>
            <w:pPr>
              <w:widowControl/>
              <w:adjustRightInd w:val="0"/>
              <w:snapToGrid w:val="0"/>
              <w:spacing w:line="400" w:lineRule="exact"/>
              <w:jc w:val="center"/>
              <w:textAlignment w:val="center"/>
              <w:rPr>
                <w:rFonts w:ascii="宋体" w:hAnsi="宋体"/>
                <w:color w:val="auto"/>
              </w:rPr>
            </w:pPr>
            <w:r>
              <w:rPr>
                <w:rFonts w:hint="eastAsia" w:ascii="宋体" w:hAnsi="宋体"/>
                <w:color w:val="auto"/>
              </w:rPr>
              <w:t>变频电机</w:t>
            </w:r>
          </w:p>
        </w:tc>
        <w:tc>
          <w:tcPr>
            <w:tcW w:w="3802" w:type="dxa"/>
            <w:tcBorders>
              <w:top w:val="single" w:color="000000" w:sz="4" w:space="0"/>
              <w:left w:val="single" w:color="000000" w:sz="4" w:space="0"/>
              <w:bottom w:val="single" w:color="000000" w:sz="4" w:space="0"/>
              <w:right w:val="single" w:color="000000" w:sz="4" w:space="0"/>
            </w:tcBorders>
            <w:tcMar>
              <w:top w:w="0" w:type="dxa"/>
              <w:left w:w="45" w:type="dxa"/>
              <w:bottom w:w="0" w:type="dxa"/>
              <w:right w:w="45" w:type="dxa"/>
            </w:tcMar>
            <w:vAlign w:val="center"/>
          </w:tcPr>
          <w:p>
            <w:pPr>
              <w:widowControl/>
              <w:adjustRightInd w:val="0"/>
              <w:snapToGrid w:val="0"/>
              <w:spacing w:line="400" w:lineRule="exact"/>
              <w:jc w:val="center"/>
              <w:textAlignment w:val="center"/>
              <w:rPr>
                <w:rFonts w:ascii="宋体" w:hAnsi="宋体"/>
                <w:color w:val="auto"/>
              </w:rPr>
            </w:pPr>
            <w:r>
              <w:rPr>
                <w:rFonts w:hint="eastAsia" w:ascii="宋体" w:hAnsi="宋体"/>
                <w:color w:val="auto"/>
              </w:rPr>
              <w:t>东元、西门子、马拉松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 w:hRule="atLeast"/>
          <w:jc w:val="center"/>
        </w:trPr>
        <w:tc>
          <w:tcPr>
            <w:tcW w:w="988" w:type="dxa"/>
            <w:tcBorders>
              <w:top w:val="single" w:color="000000" w:sz="4" w:space="0"/>
              <w:left w:val="single" w:color="000000" w:sz="4" w:space="0"/>
              <w:bottom w:val="single" w:color="000000" w:sz="4" w:space="0"/>
              <w:right w:val="single" w:color="000000" w:sz="4" w:space="0"/>
            </w:tcBorders>
            <w:tcMar>
              <w:top w:w="0" w:type="dxa"/>
              <w:left w:w="45" w:type="dxa"/>
              <w:bottom w:w="0" w:type="dxa"/>
              <w:right w:w="45" w:type="dxa"/>
            </w:tcMar>
            <w:vAlign w:val="center"/>
          </w:tcPr>
          <w:p>
            <w:pPr>
              <w:spacing w:line="400" w:lineRule="exact"/>
              <w:jc w:val="center"/>
              <w:rPr>
                <w:rFonts w:ascii="宋体" w:hAnsi="宋体"/>
                <w:color w:val="auto"/>
              </w:rPr>
            </w:pPr>
            <w:r>
              <w:rPr>
                <w:rFonts w:hint="eastAsia" w:ascii="宋体" w:hAnsi="宋体"/>
                <w:color w:val="auto"/>
              </w:rPr>
              <w:t>4</w:t>
            </w:r>
          </w:p>
        </w:tc>
        <w:tc>
          <w:tcPr>
            <w:tcW w:w="2693" w:type="dxa"/>
            <w:tcBorders>
              <w:top w:val="single" w:color="000000" w:sz="4" w:space="0"/>
              <w:left w:val="single" w:color="000000" w:sz="4" w:space="0"/>
              <w:bottom w:val="single" w:color="000000" w:sz="4" w:space="0"/>
              <w:right w:val="single" w:color="000000" w:sz="4" w:space="0"/>
            </w:tcBorders>
            <w:tcMar>
              <w:top w:w="0" w:type="dxa"/>
              <w:left w:w="45" w:type="dxa"/>
              <w:bottom w:w="0" w:type="dxa"/>
              <w:right w:w="45" w:type="dxa"/>
            </w:tcMar>
            <w:vAlign w:val="center"/>
          </w:tcPr>
          <w:p>
            <w:pPr>
              <w:widowControl/>
              <w:adjustRightInd w:val="0"/>
              <w:snapToGrid w:val="0"/>
              <w:spacing w:line="400" w:lineRule="exact"/>
              <w:jc w:val="center"/>
              <w:textAlignment w:val="center"/>
              <w:rPr>
                <w:rFonts w:ascii="宋体" w:hAnsi="宋体"/>
                <w:color w:val="auto"/>
              </w:rPr>
            </w:pPr>
            <w:r>
              <w:rPr>
                <w:rFonts w:hint="eastAsia" w:ascii="宋体" w:hAnsi="宋体"/>
                <w:color w:val="auto"/>
              </w:rPr>
              <w:t>消声器</w:t>
            </w:r>
          </w:p>
        </w:tc>
        <w:tc>
          <w:tcPr>
            <w:tcW w:w="3802" w:type="dxa"/>
            <w:tcBorders>
              <w:top w:val="single" w:color="000000" w:sz="4" w:space="0"/>
              <w:left w:val="single" w:color="000000" w:sz="4" w:space="0"/>
              <w:bottom w:val="single" w:color="000000" w:sz="4" w:space="0"/>
              <w:right w:val="single" w:color="000000" w:sz="4" w:space="0"/>
            </w:tcBorders>
            <w:tcMar>
              <w:top w:w="0" w:type="dxa"/>
              <w:left w:w="45" w:type="dxa"/>
              <w:bottom w:w="0" w:type="dxa"/>
              <w:right w:w="45" w:type="dxa"/>
            </w:tcMar>
            <w:vAlign w:val="center"/>
          </w:tcPr>
          <w:p>
            <w:pPr>
              <w:widowControl/>
              <w:adjustRightInd w:val="0"/>
              <w:snapToGrid w:val="0"/>
              <w:spacing w:line="400" w:lineRule="exact"/>
              <w:jc w:val="center"/>
              <w:textAlignment w:val="center"/>
              <w:rPr>
                <w:rFonts w:ascii="宋体" w:hAnsi="宋体"/>
                <w:color w:val="auto"/>
              </w:rPr>
            </w:pPr>
            <w:r>
              <w:rPr>
                <w:rFonts w:hint="eastAsia" w:ascii="宋体" w:hAnsi="宋体"/>
                <w:color w:val="auto"/>
              </w:rPr>
              <w:t>顶裕、磐力、熙诚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 w:hRule="atLeast"/>
          <w:jc w:val="center"/>
        </w:trPr>
        <w:tc>
          <w:tcPr>
            <w:tcW w:w="988" w:type="dxa"/>
            <w:tcBorders>
              <w:top w:val="single" w:color="000000" w:sz="4" w:space="0"/>
              <w:left w:val="single" w:color="000000" w:sz="4" w:space="0"/>
              <w:bottom w:val="single" w:color="000000" w:sz="4" w:space="0"/>
              <w:right w:val="single" w:color="000000" w:sz="4" w:space="0"/>
            </w:tcBorders>
            <w:tcMar>
              <w:top w:w="0" w:type="dxa"/>
              <w:left w:w="45" w:type="dxa"/>
              <w:bottom w:w="0" w:type="dxa"/>
              <w:right w:w="45" w:type="dxa"/>
            </w:tcMar>
            <w:vAlign w:val="center"/>
          </w:tcPr>
          <w:p>
            <w:pPr>
              <w:spacing w:line="400" w:lineRule="exact"/>
              <w:jc w:val="center"/>
              <w:rPr>
                <w:rFonts w:ascii="宋体" w:hAnsi="宋体"/>
                <w:color w:val="auto"/>
              </w:rPr>
            </w:pPr>
            <w:r>
              <w:rPr>
                <w:rFonts w:ascii="宋体" w:hAnsi="宋体"/>
                <w:color w:val="auto"/>
              </w:rPr>
              <w:t>5</w:t>
            </w:r>
          </w:p>
        </w:tc>
        <w:tc>
          <w:tcPr>
            <w:tcW w:w="2693" w:type="dxa"/>
            <w:tcBorders>
              <w:top w:val="single" w:color="000000" w:sz="4" w:space="0"/>
              <w:left w:val="single" w:color="000000" w:sz="4" w:space="0"/>
              <w:bottom w:val="single" w:color="000000" w:sz="4" w:space="0"/>
              <w:right w:val="single" w:color="000000" w:sz="4" w:space="0"/>
            </w:tcBorders>
            <w:tcMar>
              <w:top w:w="0" w:type="dxa"/>
              <w:left w:w="45" w:type="dxa"/>
              <w:bottom w:w="0" w:type="dxa"/>
              <w:right w:w="45" w:type="dxa"/>
            </w:tcMar>
            <w:vAlign w:val="center"/>
          </w:tcPr>
          <w:p>
            <w:pPr>
              <w:widowControl/>
              <w:adjustRightInd w:val="0"/>
              <w:snapToGrid w:val="0"/>
              <w:spacing w:line="400" w:lineRule="exact"/>
              <w:jc w:val="center"/>
              <w:textAlignment w:val="center"/>
              <w:rPr>
                <w:rFonts w:ascii="宋体" w:hAnsi="宋体"/>
                <w:color w:val="auto"/>
              </w:rPr>
            </w:pPr>
            <w:r>
              <w:rPr>
                <w:rFonts w:hint="eastAsia" w:ascii="宋体" w:hAnsi="宋体"/>
                <w:color w:val="auto"/>
              </w:rPr>
              <w:t>防火阀</w:t>
            </w:r>
          </w:p>
        </w:tc>
        <w:tc>
          <w:tcPr>
            <w:tcW w:w="3802" w:type="dxa"/>
            <w:tcBorders>
              <w:top w:val="single" w:color="000000" w:sz="4" w:space="0"/>
              <w:left w:val="single" w:color="000000" w:sz="4" w:space="0"/>
              <w:bottom w:val="single" w:color="000000" w:sz="4" w:space="0"/>
              <w:right w:val="single" w:color="000000" w:sz="4" w:space="0"/>
            </w:tcBorders>
            <w:tcMar>
              <w:top w:w="0" w:type="dxa"/>
              <w:left w:w="45" w:type="dxa"/>
              <w:bottom w:w="0" w:type="dxa"/>
              <w:right w:w="45" w:type="dxa"/>
            </w:tcMar>
            <w:vAlign w:val="center"/>
          </w:tcPr>
          <w:p>
            <w:pPr>
              <w:widowControl/>
              <w:adjustRightInd w:val="0"/>
              <w:snapToGrid w:val="0"/>
              <w:spacing w:line="400" w:lineRule="exact"/>
              <w:jc w:val="center"/>
              <w:textAlignment w:val="center"/>
              <w:rPr>
                <w:rFonts w:ascii="宋体" w:hAnsi="宋体"/>
                <w:color w:val="auto"/>
              </w:rPr>
            </w:pPr>
            <w:r>
              <w:rPr>
                <w:rFonts w:hint="eastAsia" w:ascii="宋体" w:hAnsi="宋体"/>
                <w:color w:val="auto"/>
              </w:rPr>
              <w:t>显隆、盈达、首风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988" w:type="dxa"/>
            <w:tcBorders>
              <w:top w:val="single" w:color="000000" w:sz="4" w:space="0"/>
              <w:left w:val="single" w:color="000000" w:sz="4" w:space="0"/>
              <w:bottom w:val="single" w:color="000000" w:sz="4" w:space="0"/>
              <w:right w:val="single" w:color="000000" w:sz="4" w:space="0"/>
            </w:tcBorders>
            <w:tcMar>
              <w:top w:w="0" w:type="dxa"/>
              <w:left w:w="45" w:type="dxa"/>
              <w:bottom w:w="0" w:type="dxa"/>
              <w:right w:w="45" w:type="dxa"/>
            </w:tcMar>
            <w:vAlign w:val="center"/>
          </w:tcPr>
          <w:p>
            <w:pPr>
              <w:spacing w:line="400" w:lineRule="exact"/>
              <w:jc w:val="center"/>
              <w:rPr>
                <w:rFonts w:ascii="宋体" w:hAnsi="宋体"/>
                <w:color w:val="auto"/>
              </w:rPr>
            </w:pPr>
            <w:r>
              <w:rPr>
                <w:rFonts w:ascii="宋体" w:hAnsi="宋体"/>
                <w:color w:val="auto"/>
              </w:rPr>
              <w:t>6</w:t>
            </w:r>
          </w:p>
        </w:tc>
        <w:tc>
          <w:tcPr>
            <w:tcW w:w="2693" w:type="dxa"/>
            <w:tcBorders>
              <w:top w:val="single" w:color="000000" w:sz="4" w:space="0"/>
              <w:left w:val="single" w:color="000000" w:sz="4" w:space="0"/>
              <w:bottom w:val="single" w:color="000000" w:sz="4" w:space="0"/>
              <w:right w:val="single" w:color="000000" w:sz="4" w:space="0"/>
            </w:tcBorders>
            <w:tcMar>
              <w:top w:w="0" w:type="dxa"/>
              <w:left w:w="45" w:type="dxa"/>
              <w:bottom w:w="0" w:type="dxa"/>
              <w:right w:w="45" w:type="dxa"/>
            </w:tcMar>
            <w:vAlign w:val="center"/>
          </w:tcPr>
          <w:p>
            <w:pPr>
              <w:widowControl/>
              <w:adjustRightInd w:val="0"/>
              <w:snapToGrid w:val="0"/>
              <w:spacing w:line="400" w:lineRule="exact"/>
              <w:jc w:val="center"/>
              <w:textAlignment w:val="center"/>
              <w:rPr>
                <w:rFonts w:ascii="宋体" w:hAnsi="宋体"/>
                <w:color w:val="auto"/>
              </w:rPr>
            </w:pPr>
            <w:r>
              <w:rPr>
                <w:rFonts w:hint="eastAsia" w:ascii="宋体" w:hAnsi="宋体"/>
                <w:color w:val="auto"/>
              </w:rPr>
              <w:t>PP风管板材</w:t>
            </w:r>
          </w:p>
        </w:tc>
        <w:tc>
          <w:tcPr>
            <w:tcW w:w="3802" w:type="dxa"/>
            <w:tcBorders>
              <w:top w:val="single" w:color="000000" w:sz="4" w:space="0"/>
              <w:left w:val="single" w:color="000000" w:sz="4" w:space="0"/>
              <w:bottom w:val="single" w:color="000000" w:sz="4" w:space="0"/>
              <w:right w:val="single" w:color="000000" w:sz="4" w:space="0"/>
            </w:tcBorders>
            <w:tcMar>
              <w:top w:w="0" w:type="dxa"/>
              <w:left w:w="45" w:type="dxa"/>
              <w:bottom w:w="0" w:type="dxa"/>
              <w:right w:w="45" w:type="dxa"/>
            </w:tcMar>
            <w:vAlign w:val="center"/>
          </w:tcPr>
          <w:p>
            <w:pPr>
              <w:widowControl/>
              <w:adjustRightInd w:val="0"/>
              <w:snapToGrid w:val="0"/>
              <w:spacing w:line="400" w:lineRule="exact"/>
              <w:jc w:val="center"/>
              <w:textAlignment w:val="center"/>
              <w:rPr>
                <w:rFonts w:hint="eastAsia" w:ascii="宋体" w:hAnsi="宋体" w:eastAsia="宋体"/>
                <w:color w:val="auto"/>
                <w:lang w:eastAsia="zh-CN"/>
              </w:rPr>
            </w:pPr>
            <w:r>
              <w:rPr>
                <w:rFonts w:hint="eastAsia" w:ascii="宋体" w:hAnsi="宋体"/>
                <w:color w:val="auto"/>
                <w:lang w:eastAsia="zh-CN"/>
              </w:rPr>
              <w:t>知名品牌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988" w:type="dxa"/>
            <w:tcBorders>
              <w:top w:val="single" w:color="000000" w:sz="4" w:space="0"/>
              <w:left w:val="single" w:color="000000" w:sz="4" w:space="0"/>
              <w:bottom w:val="single" w:color="000000" w:sz="4" w:space="0"/>
              <w:right w:val="single" w:color="000000" w:sz="4" w:space="0"/>
            </w:tcBorders>
            <w:tcMar>
              <w:top w:w="0" w:type="dxa"/>
              <w:left w:w="45" w:type="dxa"/>
              <w:bottom w:w="0" w:type="dxa"/>
              <w:right w:w="45" w:type="dxa"/>
            </w:tcMar>
            <w:vAlign w:val="center"/>
          </w:tcPr>
          <w:p>
            <w:pPr>
              <w:spacing w:line="400" w:lineRule="exact"/>
              <w:jc w:val="center"/>
              <w:rPr>
                <w:rFonts w:ascii="宋体" w:hAnsi="宋体"/>
                <w:color w:val="auto"/>
              </w:rPr>
            </w:pPr>
            <w:r>
              <w:rPr>
                <w:rFonts w:hint="eastAsia" w:ascii="宋体" w:hAnsi="宋体"/>
                <w:color w:val="auto"/>
              </w:rPr>
              <w:t>7</w:t>
            </w:r>
          </w:p>
        </w:tc>
        <w:tc>
          <w:tcPr>
            <w:tcW w:w="2693" w:type="dxa"/>
            <w:tcBorders>
              <w:top w:val="single" w:color="000000" w:sz="4" w:space="0"/>
              <w:left w:val="single" w:color="000000" w:sz="4" w:space="0"/>
              <w:bottom w:val="single" w:color="000000" w:sz="4" w:space="0"/>
              <w:right w:val="single" w:color="000000" w:sz="4" w:space="0"/>
            </w:tcBorders>
            <w:tcMar>
              <w:top w:w="0" w:type="dxa"/>
              <w:left w:w="45" w:type="dxa"/>
              <w:bottom w:w="0" w:type="dxa"/>
              <w:right w:w="45" w:type="dxa"/>
            </w:tcMar>
            <w:vAlign w:val="center"/>
          </w:tcPr>
          <w:p>
            <w:pPr>
              <w:widowControl/>
              <w:adjustRightInd w:val="0"/>
              <w:snapToGrid w:val="0"/>
              <w:spacing w:line="400" w:lineRule="exact"/>
              <w:jc w:val="center"/>
              <w:textAlignment w:val="center"/>
              <w:rPr>
                <w:rFonts w:ascii="宋体" w:hAnsi="宋体"/>
                <w:color w:val="auto"/>
              </w:rPr>
            </w:pPr>
            <w:r>
              <w:rPr>
                <w:rFonts w:hint="eastAsia" w:ascii="宋体" w:hAnsi="宋体"/>
                <w:color w:val="auto"/>
              </w:rPr>
              <w:t>系统电气控制柜</w:t>
            </w:r>
          </w:p>
        </w:tc>
        <w:tc>
          <w:tcPr>
            <w:tcW w:w="3802" w:type="dxa"/>
            <w:tcBorders>
              <w:top w:val="single" w:color="000000" w:sz="4" w:space="0"/>
              <w:left w:val="single" w:color="000000" w:sz="4" w:space="0"/>
              <w:bottom w:val="single" w:color="000000" w:sz="4" w:space="0"/>
              <w:right w:val="single" w:color="000000" w:sz="4" w:space="0"/>
            </w:tcBorders>
            <w:tcMar>
              <w:top w:w="0" w:type="dxa"/>
              <w:left w:w="45" w:type="dxa"/>
              <w:bottom w:w="0" w:type="dxa"/>
              <w:right w:w="45" w:type="dxa"/>
            </w:tcMar>
            <w:vAlign w:val="center"/>
          </w:tcPr>
          <w:p>
            <w:pPr>
              <w:widowControl/>
              <w:adjustRightInd w:val="0"/>
              <w:snapToGrid w:val="0"/>
              <w:spacing w:line="400" w:lineRule="exact"/>
              <w:jc w:val="center"/>
              <w:textAlignment w:val="center"/>
              <w:rPr>
                <w:rFonts w:ascii="宋体" w:hAnsi="宋体"/>
                <w:color w:val="auto"/>
              </w:rPr>
            </w:pPr>
            <w:r>
              <w:rPr>
                <w:rFonts w:hint="eastAsia" w:ascii="宋体" w:hAnsi="宋体"/>
                <w:color w:val="auto"/>
                <w:lang w:eastAsia="zh-CN"/>
              </w:rPr>
              <w:t>知名品牌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988" w:type="dxa"/>
            <w:tcBorders>
              <w:top w:val="single" w:color="000000" w:sz="4" w:space="0"/>
              <w:left w:val="single" w:color="000000" w:sz="4" w:space="0"/>
              <w:bottom w:val="single" w:color="000000" w:sz="4" w:space="0"/>
              <w:right w:val="single" w:color="000000" w:sz="4" w:space="0"/>
            </w:tcBorders>
            <w:tcMar>
              <w:top w:w="0" w:type="dxa"/>
              <w:left w:w="45" w:type="dxa"/>
              <w:bottom w:w="0" w:type="dxa"/>
              <w:right w:w="45" w:type="dxa"/>
            </w:tcMar>
            <w:vAlign w:val="center"/>
          </w:tcPr>
          <w:p>
            <w:pPr>
              <w:spacing w:line="400" w:lineRule="exact"/>
              <w:jc w:val="center"/>
              <w:rPr>
                <w:rFonts w:ascii="宋体" w:hAnsi="宋体"/>
                <w:color w:val="auto"/>
              </w:rPr>
            </w:pPr>
            <w:r>
              <w:rPr>
                <w:rFonts w:hint="eastAsia" w:ascii="宋体" w:hAnsi="宋体"/>
                <w:color w:val="auto"/>
              </w:rPr>
              <w:t>8</w:t>
            </w:r>
          </w:p>
        </w:tc>
        <w:tc>
          <w:tcPr>
            <w:tcW w:w="2693" w:type="dxa"/>
            <w:tcBorders>
              <w:top w:val="single" w:color="000000" w:sz="4" w:space="0"/>
              <w:left w:val="single" w:color="000000" w:sz="4" w:space="0"/>
              <w:bottom w:val="single" w:color="000000" w:sz="4" w:space="0"/>
              <w:right w:val="single" w:color="000000" w:sz="4" w:space="0"/>
            </w:tcBorders>
            <w:tcMar>
              <w:top w:w="0" w:type="dxa"/>
              <w:left w:w="45" w:type="dxa"/>
              <w:bottom w:w="0" w:type="dxa"/>
              <w:right w:w="45" w:type="dxa"/>
            </w:tcMar>
            <w:vAlign w:val="center"/>
          </w:tcPr>
          <w:p>
            <w:pPr>
              <w:widowControl/>
              <w:adjustRightInd w:val="0"/>
              <w:snapToGrid w:val="0"/>
              <w:spacing w:line="400" w:lineRule="exact"/>
              <w:jc w:val="center"/>
              <w:textAlignment w:val="center"/>
              <w:rPr>
                <w:rFonts w:ascii="宋体" w:hAnsi="宋体"/>
                <w:color w:val="auto"/>
              </w:rPr>
            </w:pPr>
            <w:r>
              <w:rPr>
                <w:rFonts w:hint="eastAsia" w:ascii="宋体" w:hAnsi="宋体"/>
                <w:color w:val="auto"/>
              </w:rPr>
              <w:t>电气元器件</w:t>
            </w:r>
          </w:p>
        </w:tc>
        <w:tc>
          <w:tcPr>
            <w:tcW w:w="3802" w:type="dxa"/>
            <w:tcBorders>
              <w:top w:val="single" w:color="000000" w:sz="4" w:space="0"/>
              <w:left w:val="single" w:color="000000" w:sz="4" w:space="0"/>
              <w:bottom w:val="single" w:color="000000" w:sz="4" w:space="0"/>
              <w:right w:val="single" w:color="000000" w:sz="4" w:space="0"/>
            </w:tcBorders>
            <w:tcMar>
              <w:top w:w="0" w:type="dxa"/>
              <w:left w:w="45" w:type="dxa"/>
              <w:bottom w:w="0" w:type="dxa"/>
              <w:right w:w="45" w:type="dxa"/>
            </w:tcMar>
            <w:vAlign w:val="center"/>
          </w:tcPr>
          <w:p>
            <w:pPr>
              <w:widowControl/>
              <w:adjustRightInd w:val="0"/>
              <w:snapToGrid w:val="0"/>
              <w:spacing w:line="400" w:lineRule="exact"/>
              <w:jc w:val="center"/>
              <w:textAlignment w:val="center"/>
              <w:rPr>
                <w:rFonts w:ascii="宋体" w:hAnsi="宋体"/>
                <w:color w:val="auto"/>
              </w:rPr>
            </w:pPr>
            <w:r>
              <w:rPr>
                <w:rFonts w:hint="eastAsia" w:ascii="宋体" w:hAnsi="宋体"/>
                <w:color w:val="auto"/>
              </w:rPr>
              <w:t>施耐德、西门子、ABB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988" w:type="dxa"/>
            <w:tcBorders>
              <w:top w:val="single" w:color="000000" w:sz="4" w:space="0"/>
              <w:left w:val="single" w:color="000000" w:sz="4" w:space="0"/>
              <w:bottom w:val="single" w:color="000000" w:sz="4" w:space="0"/>
              <w:right w:val="single" w:color="000000" w:sz="4" w:space="0"/>
            </w:tcBorders>
            <w:tcMar>
              <w:top w:w="0" w:type="dxa"/>
              <w:left w:w="45" w:type="dxa"/>
              <w:bottom w:w="0" w:type="dxa"/>
              <w:right w:w="45" w:type="dxa"/>
            </w:tcMar>
            <w:vAlign w:val="center"/>
          </w:tcPr>
          <w:p>
            <w:pPr>
              <w:spacing w:line="400" w:lineRule="exact"/>
              <w:jc w:val="center"/>
              <w:rPr>
                <w:rFonts w:ascii="宋体" w:hAnsi="宋体"/>
                <w:color w:val="auto"/>
              </w:rPr>
            </w:pPr>
            <w:r>
              <w:rPr>
                <w:rFonts w:hint="eastAsia" w:ascii="宋体" w:hAnsi="宋体"/>
                <w:color w:val="auto"/>
              </w:rPr>
              <w:t>9</w:t>
            </w:r>
          </w:p>
        </w:tc>
        <w:tc>
          <w:tcPr>
            <w:tcW w:w="2693" w:type="dxa"/>
            <w:tcBorders>
              <w:top w:val="single" w:color="000000" w:sz="4" w:space="0"/>
              <w:left w:val="single" w:color="000000" w:sz="4" w:space="0"/>
              <w:bottom w:val="single" w:color="000000" w:sz="4" w:space="0"/>
              <w:right w:val="single" w:color="000000" w:sz="4" w:space="0"/>
            </w:tcBorders>
            <w:tcMar>
              <w:top w:w="0" w:type="dxa"/>
              <w:left w:w="45" w:type="dxa"/>
              <w:bottom w:w="0" w:type="dxa"/>
              <w:right w:w="45" w:type="dxa"/>
            </w:tcMar>
            <w:vAlign w:val="center"/>
          </w:tcPr>
          <w:p>
            <w:pPr>
              <w:widowControl/>
              <w:adjustRightInd w:val="0"/>
              <w:snapToGrid w:val="0"/>
              <w:spacing w:line="400" w:lineRule="exact"/>
              <w:jc w:val="center"/>
              <w:textAlignment w:val="center"/>
              <w:rPr>
                <w:rFonts w:ascii="宋体" w:hAnsi="宋体"/>
                <w:color w:val="auto"/>
              </w:rPr>
            </w:pPr>
            <w:r>
              <w:rPr>
                <w:rFonts w:hint="eastAsia" w:ascii="宋体" w:hAnsi="宋体"/>
                <w:color w:val="auto"/>
              </w:rPr>
              <w:t>380V变频器</w:t>
            </w:r>
          </w:p>
        </w:tc>
        <w:tc>
          <w:tcPr>
            <w:tcW w:w="3802" w:type="dxa"/>
            <w:tcBorders>
              <w:top w:val="single" w:color="000000" w:sz="4" w:space="0"/>
              <w:left w:val="single" w:color="000000" w:sz="4" w:space="0"/>
              <w:bottom w:val="single" w:color="000000" w:sz="4" w:space="0"/>
              <w:right w:val="single" w:color="000000" w:sz="4" w:space="0"/>
            </w:tcBorders>
            <w:tcMar>
              <w:top w:w="0" w:type="dxa"/>
              <w:left w:w="45" w:type="dxa"/>
              <w:bottom w:w="0" w:type="dxa"/>
              <w:right w:w="45" w:type="dxa"/>
            </w:tcMar>
            <w:vAlign w:val="center"/>
          </w:tcPr>
          <w:p>
            <w:pPr>
              <w:widowControl/>
              <w:adjustRightInd w:val="0"/>
              <w:snapToGrid w:val="0"/>
              <w:spacing w:line="400" w:lineRule="exact"/>
              <w:jc w:val="center"/>
              <w:textAlignment w:val="center"/>
              <w:rPr>
                <w:rFonts w:ascii="宋体" w:hAnsi="宋体"/>
                <w:color w:val="auto"/>
              </w:rPr>
            </w:pPr>
            <w:r>
              <w:rPr>
                <w:rFonts w:hint="eastAsia" w:ascii="宋体" w:hAnsi="宋体"/>
                <w:color w:val="auto"/>
              </w:rPr>
              <w:t>施耐德、西门子、ABB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988" w:type="dxa"/>
            <w:tcBorders>
              <w:top w:val="single" w:color="000000" w:sz="4" w:space="0"/>
              <w:left w:val="single" w:color="000000" w:sz="4" w:space="0"/>
              <w:bottom w:val="single" w:color="000000" w:sz="4" w:space="0"/>
              <w:right w:val="single" w:color="000000" w:sz="4" w:space="0"/>
            </w:tcBorders>
            <w:tcMar>
              <w:top w:w="0" w:type="dxa"/>
              <w:left w:w="45" w:type="dxa"/>
              <w:bottom w:w="0" w:type="dxa"/>
              <w:right w:w="45" w:type="dxa"/>
            </w:tcMar>
            <w:vAlign w:val="center"/>
          </w:tcPr>
          <w:p>
            <w:pPr>
              <w:spacing w:line="400" w:lineRule="exact"/>
              <w:jc w:val="center"/>
              <w:rPr>
                <w:rFonts w:ascii="宋体" w:hAnsi="宋体"/>
                <w:color w:val="auto"/>
              </w:rPr>
            </w:pPr>
            <w:r>
              <w:rPr>
                <w:rFonts w:hint="eastAsia" w:ascii="宋体" w:hAnsi="宋体"/>
                <w:color w:val="auto"/>
              </w:rPr>
              <w:t>1</w:t>
            </w:r>
            <w:r>
              <w:rPr>
                <w:rFonts w:ascii="宋体" w:hAnsi="宋体"/>
                <w:color w:val="auto"/>
              </w:rPr>
              <w:t>0</w:t>
            </w:r>
          </w:p>
        </w:tc>
        <w:tc>
          <w:tcPr>
            <w:tcW w:w="2693" w:type="dxa"/>
            <w:tcBorders>
              <w:top w:val="single" w:color="000000" w:sz="4" w:space="0"/>
              <w:left w:val="single" w:color="000000" w:sz="4" w:space="0"/>
              <w:bottom w:val="single" w:color="000000" w:sz="4" w:space="0"/>
              <w:right w:val="single" w:color="000000" w:sz="4" w:space="0"/>
            </w:tcBorders>
            <w:tcMar>
              <w:top w:w="0" w:type="dxa"/>
              <w:left w:w="45" w:type="dxa"/>
              <w:bottom w:w="0" w:type="dxa"/>
              <w:right w:w="45" w:type="dxa"/>
            </w:tcMar>
            <w:vAlign w:val="center"/>
          </w:tcPr>
          <w:p>
            <w:pPr>
              <w:widowControl/>
              <w:adjustRightInd w:val="0"/>
              <w:snapToGrid w:val="0"/>
              <w:spacing w:line="400" w:lineRule="exact"/>
              <w:jc w:val="center"/>
              <w:textAlignment w:val="center"/>
              <w:rPr>
                <w:rFonts w:ascii="宋体" w:hAnsi="宋体"/>
                <w:color w:val="auto"/>
              </w:rPr>
            </w:pPr>
            <w:r>
              <w:rPr>
                <w:rFonts w:hint="eastAsia" w:ascii="宋体" w:hAnsi="宋体"/>
                <w:color w:val="auto"/>
              </w:rPr>
              <w:t>PLC控制器</w:t>
            </w:r>
          </w:p>
        </w:tc>
        <w:tc>
          <w:tcPr>
            <w:tcW w:w="3802" w:type="dxa"/>
            <w:tcBorders>
              <w:top w:val="single" w:color="000000" w:sz="4" w:space="0"/>
              <w:left w:val="single" w:color="000000" w:sz="4" w:space="0"/>
              <w:bottom w:val="single" w:color="000000" w:sz="4" w:space="0"/>
              <w:right w:val="single" w:color="000000" w:sz="4" w:space="0"/>
            </w:tcBorders>
            <w:tcMar>
              <w:top w:w="0" w:type="dxa"/>
              <w:left w:w="45" w:type="dxa"/>
              <w:bottom w:w="0" w:type="dxa"/>
              <w:right w:w="45" w:type="dxa"/>
            </w:tcMar>
          </w:tcPr>
          <w:p>
            <w:pPr>
              <w:widowControl/>
              <w:adjustRightInd w:val="0"/>
              <w:snapToGrid w:val="0"/>
              <w:spacing w:line="400" w:lineRule="exact"/>
              <w:jc w:val="center"/>
              <w:textAlignment w:val="center"/>
              <w:rPr>
                <w:rFonts w:ascii="宋体" w:hAnsi="宋体"/>
                <w:color w:val="auto"/>
              </w:rPr>
            </w:pPr>
            <w:r>
              <w:rPr>
                <w:rFonts w:hint="eastAsia" w:ascii="宋体" w:hAnsi="宋体"/>
                <w:color w:val="auto"/>
              </w:rPr>
              <w:t>施耐德、西门子、ABB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988" w:type="dxa"/>
            <w:tcBorders>
              <w:top w:val="single" w:color="000000" w:sz="4" w:space="0"/>
              <w:left w:val="single" w:color="000000" w:sz="4" w:space="0"/>
              <w:bottom w:val="single" w:color="000000" w:sz="4" w:space="0"/>
              <w:right w:val="single" w:color="000000" w:sz="4" w:space="0"/>
            </w:tcBorders>
            <w:tcMar>
              <w:top w:w="0" w:type="dxa"/>
              <w:left w:w="45" w:type="dxa"/>
              <w:bottom w:w="0" w:type="dxa"/>
              <w:right w:w="45" w:type="dxa"/>
            </w:tcMar>
            <w:vAlign w:val="center"/>
          </w:tcPr>
          <w:p>
            <w:pPr>
              <w:spacing w:line="400" w:lineRule="exact"/>
              <w:jc w:val="center"/>
              <w:rPr>
                <w:rFonts w:ascii="宋体" w:hAnsi="宋体"/>
                <w:color w:val="auto"/>
              </w:rPr>
            </w:pPr>
            <w:r>
              <w:rPr>
                <w:rFonts w:hint="eastAsia" w:ascii="宋体" w:hAnsi="宋体"/>
                <w:color w:val="auto"/>
              </w:rPr>
              <w:t>1</w:t>
            </w:r>
            <w:r>
              <w:rPr>
                <w:rFonts w:ascii="宋体" w:hAnsi="宋体"/>
                <w:color w:val="auto"/>
              </w:rPr>
              <w:t>1</w:t>
            </w:r>
          </w:p>
        </w:tc>
        <w:tc>
          <w:tcPr>
            <w:tcW w:w="2693" w:type="dxa"/>
            <w:tcBorders>
              <w:top w:val="single" w:color="000000" w:sz="4" w:space="0"/>
              <w:left w:val="single" w:color="000000" w:sz="4" w:space="0"/>
              <w:bottom w:val="single" w:color="000000" w:sz="4" w:space="0"/>
              <w:right w:val="single" w:color="000000" w:sz="4" w:space="0"/>
            </w:tcBorders>
            <w:tcMar>
              <w:top w:w="0" w:type="dxa"/>
              <w:left w:w="45" w:type="dxa"/>
              <w:bottom w:w="0" w:type="dxa"/>
              <w:right w:w="45" w:type="dxa"/>
            </w:tcMar>
            <w:vAlign w:val="center"/>
          </w:tcPr>
          <w:p>
            <w:pPr>
              <w:widowControl/>
              <w:adjustRightInd w:val="0"/>
              <w:snapToGrid w:val="0"/>
              <w:spacing w:line="400" w:lineRule="exact"/>
              <w:jc w:val="center"/>
              <w:textAlignment w:val="center"/>
              <w:rPr>
                <w:rFonts w:ascii="宋体" w:hAnsi="宋体"/>
                <w:color w:val="auto"/>
              </w:rPr>
            </w:pPr>
            <w:r>
              <w:rPr>
                <w:rFonts w:hint="eastAsia" w:ascii="宋体" w:hAnsi="宋体"/>
                <w:color w:val="auto"/>
              </w:rPr>
              <w:t>压差开关</w:t>
            </w:r>
          </w:p>
        </w:tc>
        <w:tc>
          <w:tcPr>
            <w:tcW w:w="3802" w:type="dxa"/>
            <w:tcBorders>
              <w:top w:val="single" w:color="000000" w:sz="4" w:space="0"/>
              <w:left w:val="single" w:color="000000" w:sz="4" w:space="0"/>
              <w:bottom w:val="single" w:color="000000" w:sz="4" w:space="0"/>
              <w:right w:val="single" w:color="000000" w:sz="4" w:space="0"/>
            </w:tcBorders>
            <w:tcMar>
              <w:top w:w="0" w:type="dxa"/>
              <w:left w:w="45" w:type="dxa"/>
              <w:bottom w:w="0" w:type="dxa"/>
              <w:right w:w="45" w:type="dxa"/>
            </w:tcMar>
          </w:tcPr>
          <w:p>
            <w:pPr>
              <w:widowControl/>
              <w:adjustRightInd w:val="0"/>
              <w:snapToGrid w:val="0"/>
              <w:spacing w:line="400" w:lineRule="exact"/>
              <w:jc w:val="center"/>
              <w:textAlignment w:val="center"/>
              <w:rPr>
                <w:rFonts w:ascii="宋体" w:hAnsi="宋体"/>
                <w:color w:val="auto"/>
              </w:rPr>
            </w:pPr>
            <w:r>
              <w:rPr>
                <w:rFonts w:hint="eastAsia" w:ascii="宋体" w:hAnsi="宋体"/>
                <w:color w:val="auto"/>
              </w:rPr>
              <w:t>施耐德、西门子、ABB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988" w:type="dxa"/>
            <w:tcBorders>
              <w:top w:val="single" w:color="000000" w:sz="4" w:space="0"/>
              <w:left w:val="single" w:color="000000" w:sz="4" w:space="0"/>
              <w:bottom w:val="single" w:color="000000" w:sz="4" w:space="0"/>
              <w:right w:val="single" w:color="000000" w:sz="4" w:space="0"/>
            </w:tcBorders>
            <w:tcMar>
              <w:top w:w="0" w:type="dxa"/>
              <w:left w:w="45" w:type="dxa"/>
              <w:bottom w:w="0" w:type="dxa"/>
              <w:right w:w="45" w:type="dxa"/>
            </w:tcMar>
            <w:vAlign w:val="center"/>
          </w:tcPr>
          <w:p>
            <w:pPr>
              <w:spacing w:line="400" w:lineRule="exact"/>
              <w:jc w:val="center"/>
              <w:rPr>
                <w:rFonts w:ascii="宋体" w:hAnsi="宋体"/>
                <w:color w:val="auto"/>
              </w:rPr>
            </w:pPr>
            <w:r>
              <w:rPr>
                <w:rFonts w:ascii="宋体" w:hAnsi="宋体"/>
                <w:color w:val="auto"/>
              </w:rPr>
              <w:t>12</w:t>
            </w:r>
          </w:p>
        </w:tc>
        <w:tc>
          <w:tcPr>
            <w:tcW w:w="2693" w:type="dxa"/>
            <w:tcBorders>
              <w:top w:val="single" w:color="000000" w:sz="4" w:space="0"/>
              <w:left w:val="single" w:color="000000" w:sz="4" w:space="0"/>
              <w:bottom w:val="single" w:color="000000" w:sz="4" w:space="0"/>
              <w:right w:val="single" w:color="000000" w:sz="4" w:space="0"/>
            </w:tcBorders>
            <w:tcMar>
              <w:top w:w="0" w:type="dxa"/>
              <w:left w:w="45" w:type="dxa"/>
              <w:bottom w:w="0" w:type="dxa"/>
              <w:right w:w="45" w:type="dxa"/>
            </w:tcMar>
            <w:vAlign w:val="center"/>
          </w:tcPr>
          <w:p>
            <w:pPr>
              <w:widowControl/>
              <w:adjustRightInd w:val="0"/>
              <w:snapToGrid w:val="0"/>
              <w:spacing w:line="400" w:lineRule="exact"/>
              <w:jc w:val="center"/>
              <w:textAlignment w:val="center"/>
              <w:rPr>
                <w:rFonts w:ascii="宋体" w:hAnsi="宋体"/>
                <w:color w:val="auto"/>
              </w:rPr>
            </w:pPr>
            <w:r>
              <w:rPr>
                <w:rFonts w:hint="eastAsia" w:ascii="宋体" w:hAnsi="宋体"/>
                <w:color w:val="auto"/>
              </w:rPr>
              <w:t>管道静压传感器</w:t>
            </w:r>
          </w:p>
        </w:tc>
        <w:tc>
          <w:tcPr>
            <w:tcW w:w="3802" w:type="dxa"/>
            <w:tcBorders>
              <w:top w:val="single" w:color="000000" w:sz="4" w:space="0"/>
              <w:left w:val="single" w:color="000000" w:sz="4" w:space="0"/>
              <w:bottom w:val="single" w:color="000000" w:sz="4" w:space="0"/>
              <w:right w:val="single" w:color="000000" w:sz="4" w:space="0"/>
            </w:tcBorders>
            <w:tcMar>
              <w:top w:w="0" w:type="dxa"/>
              <w:left w:w="45" w:type="dxa"/>
              <w:bottom w:w="0" w:type="dxa"/>
              <w:right w:w="45" w:type="dxa"/>
            </w:tcMar>
          </w:tcPr>
          <w:p>
            <w:pPr>
              <w:widowControl/>
              <w:adjustRightInd w:val="0"/>
              <w:snapToGrid w:val="0"/>
              <w:spacing w:line="400" w:lineRule="exact"/>
              <w:jc w:val="center"/>
              <w:textAlignment w:val="center"/>
              <w:rPr>
                <w:rFonts w:ascii="宋体" w:hAnsi="宋体"/>
                <w:color w:val="auto"/>
              </w:rPr>
            </w:pPr>
            <w:r>
              <w:rPr>
                <w:rFonts w:hint="eastAsia" w:ascii="宋体" w:hAnsi="宋体"/>
                <w:color w:val="auto"/>
              </w:rPr>
              <w:t>施耐德、西门子、ABB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988" w:type="dxa"/>
            <w:tcBorders>
              <w:top w:val="single" w:color="000000" w:sz="4" w:space="0"/>
              <w:left w:val="single" w:color="000000" w:sz="4" w:space="0"/>
              <w:bottom w:val="single" w:color="000000" w:sz="4" w:space="0"/>
              <w:right w:val="single" w:color="000000" w:sz="4" w:space="0"/>
            </w:tcBorders>
            <w:tcMar>
              <w:top w:w="0" w:type="dxa"/>
              <w:left w:w="45" w:type="dxa"/>
              <w:bottom w:w="0" w:type="dxa"/>
              <w:right w:w="45" w:type="dxa"/>
            </w:tcMar>
            <w:vAlign w:val="center"/>
          </w:tcPr>
          <w:p>
            <w:pPr>
              <w:spacing w:line="400" w:lineRule="exact"/>
              <w:jc w:val="center"/>
              <w:rPr>
                <w:rFonts w:ascii="宋体" w:hAnsi="宋体"/>
                <w:color w:val="auto"/>
              </w:rPr>
            </w:pPr>
            <w:r>
              <w:rPr>
                <w:rFonts w:ascii="宋体" w:hAnsi="宋体"/>
                <w:color w:val="auto"/>
              </w:rPr>
              <w:t>13</w:t>
            </w:r>
          </w:p>
        </w:tc>
        <w:tc>
          <w:tcPr>
            <w:tcW w:w="2693" w:type="dxa"/>
            <w:tcBorders>
              <w:top w:val="single" w:color="000000" w:sz="4" w:space="0"/>
              <w:left w:val="single" w:color="000000" w:sz="4" w:space="0"/>
              <w:bottom w:val="single" w:color="000000" w:sz="4" w:space="0"/>
              <w:right w:val="single" w:color="000000" w:sz="4" w:space="0"/>
            </w:tcBorders>
            <w:tcMar>
              <w:top w:w="0" w:type="dxa"/>
              <w:left w:w="45" w:type="dxa"/>
              <w:bottom w:w="0" w:type="dxa"/>
              <w:right w:w="45" w:type="dxa"/>
            </w:tcMar>
            <w:vAlign w:val="center"/>
          </w:tcPr>
          <w:p>
            <w:pPr>
              <w:widowControl/>
              <w:adjustRightInd w:val="0"/>
              <w:snapToGrid w:val="0"/>
              <w:spacing w:line="400" w:lineRule="exact"/>
              <w:jc w:val="center"/>
              <w:textAlignment w:val="center"/>
              <w:rPr>
                <w:rFonts w:ascii="宋体" w:hAnsi="宋体"/>
                <w:color w:val="auto"/>
              </w:rPr>
            </w:pPr>
            <w:r>
              <w:rPr>
                <w:rFonts w:hint="eastAsia" w:ascii="宋体" w:hAnsi="宋体"/>
                <w:color w:val="auto"/>
              </w:rPr>
              <w:t>电缆</w:t>
            </w:r>
          </w:p>
        </w:tc>
        <w:tc>
          <w:tcPr>
            <w:tcW w:w="3802" w:type="dxa"/>
            <w:tcBorders>
              <w:top w:val="single" w:color="000000" w:sz="4" w:space="0"/>
              <w:left w:val="single" w:color="000000" w:sz="4" w:space="0"/>
              <w:bottom w:val="single" w:color="000000" w:sz="4" w:space="0"/>
              <w:right w:val="single" w:color="000000" w:sz="4" w:space="0"/>
            </w:tcBorders>
            <w:tcMar>
              <w:top w:w="0" w:type="dxa"/>
              <w:left w:w="45" w:type="dxa"/>
              <w:bottom w:w="0" w:type="dxa"/>
              <w:right w:w="45" w:type="dxa"/>
            </w:tcMar>
            <w:vAlign w:val="center"/>
          </w:tcPr>
          <w:p>
            <w:pPr>
              <w:widowControl/>
              <w:adjustRightInd w:val="0"/>
              <w:snapToGrid w:val="0"/>
              <w:spacing w:line="400" w:lineRule="exact"/>
              <w:jc w:val="center"/>
              <w:textAlignment w:val="center"/>
              <w:rPr>
                <w:rFonts w:hint="eastAsia" w:ascii="宋体" w:hAnsi="宋体" w:eastAsia="宋体"/>
                <w:color w:val="auto"/>
                <w:lang w:eastAsia="zh-CN"/>
              </w:rPr>
            </w:pPr>
            <w:r>
              <w:rPr>
                <w:rFonts w:hint="eastAsia" w:ascii="宋体" w:hAnsi="宋体"/>
                <w:color w:val="auto"/>
                <w:lang w:eastAsia="zh-CN"/>
              </w:rPr>
              <w:t>远东、上上、起帆、华美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988" w:type="dxa"/>
            <w:tcBorders>
              <w:top w:val="single" w:color="000000" w:sz="4" w:space="0"/>
              <w:left w:val="single" w:color="000000" w:sz="4" w:space="0"/>
              <w:bottom w:val="single" w:color="000000" w:sz="4" w:space="0"/>
              <w:right w:val="single" w:color="000000" w:sz="4" w:space="0"/>
            </w:tcBorders>
            <w:tcMar>
              <w:top w:w="0" w:type="dxa"/>
              <w:left w:w="45" w:type="dxa"/>
              <w:bottom w:w="0" w:type="dxa"/>
              <w:right w:w="45" w:type="dxa"/>
            </w:tcMar>
            <w:vAlign w:val="center"/>
          </w:tcPr>
          <w:p>
            <w:pPr>
              <w:spacing w:line="400" w:lineRule="exact"/>
              <w:jc w:val="center"/>
              <w:rPr>
                <w:rFonts w:ascii="宋体" w:hAnsi="宋体"/>
                <w:color w:val="auto"/>
              </w:rPr>
            </w:pPr>
            <w:r>
              <w:rPr>
                <w:rFonts w:ascii="宋体" w:hAnsi="宋体"/>
                <w:color w:val="auto"/>
              </w:rPr>
              <w:t>14</w:t>
            </w:r>
          </w:p>
        </w:tc>
        <w:tc>
          <w:tcPr>
            <w:tcW w:w="2693" w:type="dxa"/>
            <w:tcBorders>
              <w:top w:val="single" w:color="000000" w:sz="4" w:space="0"/>
              <w:left w:val="single" w:color="000000" w:sz="4" w:space="0"/>
              <w:bottom w:val="single" w:color="000000" w:sz="4" w:space="0"/>
              <w:right w:val="single" w:color="000000" w:sz="4" w:space="0"/>
            </w:tcBorders>
            <w:tcMar>
              <w:top w:w="0" w:type="dxa"/>
              <w:left w:w="45" w:type="dxa"/>
              <w:bottom w:w="0" w:type="dxa"/>
              <w:right w:w="45" w:type="dxa"/>
            </w:tcMar>
            <w:vAlign w:val="center"/>
          </w:tcPr>
          <w:p>
            <w:pPr>
              <w:widowControl/>
              <w:adjustRightInd w:val="0"/>
              <w:snapToGrid w:val="0"/>
              <w:spacing w:line="400" w:lineRule="exact"/>
              <w:jc w:val="center"/>
              <w:textAlignment w:val="center"/>
              <w:rPr>
                <w:rFonts w:ascii="宋体" w:hAnsi="宋体"/>
                <w:color w:val="auto"/>
                <w:kern w:val="0"/>
              </w:rPr>
            </w:pPr>
            <w:r>
              <w:rPr>
                <w:rFonts w:hint="eastAsia" w:ascii="宋体" w:hAnsi="宋体"/>
                <w:color w:val="auto"/>
              </w:rPr>
              <w:t>网线</w:t>
            </w:r>
          </w:p>
        </w:tc>
        <w:tc>
          <w:tcPr>
            <w:tcW w:w="3802" w:type="dxa"/>
            <w:tcBorders>
              <w:top w:val="single" w:color="000000" w:sz="4" w:space="0"/>
              <w:left w:val="single" w:color="000000" w:sz="4" w:space="0"/>
              <w:bottom w:val="single" w:color="000000" w:sz="4" w:space="0"/>
              <w:right w:val="single" w:color="000000" w:sz="4" w:space="0"/>
            </w:tcBorders>
            <w:tcMar>
              <w:top w:w="0" w:type="dxa"/>
              <w:left w:w="45" w:type="dxa"/>
              <w:bottom w:w="0" w:type="dxa"/>
              <w:right w:w="45" w:type="dxa"/>
            </w:tcMar>
            <w:vAlign w:val="center"/>
          </w:tcPr>
          <w:p>
            <w:pPr>
              <w:widowControl/>
              <w:adjustRightInd w:val="0"/>
              <w:snapToGrid w:val="0"/>
              <w:spacing w:line="400" w:lineRule="exact"/>
              <w:jc w:val="center"/>
              <w:textAlignment w:val="center"/>
              <w:rPr>
                <w:rFonts w:hint="eastAsia" w:ascii="宋体" w:hAnsi="宋体" w:eastAsia="宋体"/>
                <w:bCs/>
                <w:color w:val="auto"/>
                <w:kern w:val="0"/>
                <w:lang w:eastAsia="zh-CN"/>
              </w:rPr>
            </w:pPr>
            <w:r>
              <w:rPr>
                <w:rFonts w:hint="eastAsia" w:ascii="宋体" w:hAnsi="宋体"/>
                <w:color w:val="auto"/>
              </w:rPr>
              <w:t>康普、</w:t>
            </w:r>
            <w:r>
              <w:rPr>
                <w:rFonts w:hint="eastAsia" w:ascii="宋体" w:hAnsi="宋体"/>
                <w:color w:val="auto"/>
                <w:lang w:eastAsia="zh-CN"/>
              </w:rPr>
              <w:t>普天、韩电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988" w:type="dxa"/>
            <w:tcBorders>
              <w:top w:val="single" w:color="000000" w:sz="4" w:space="0"/>
              <w:left w:val="single" w:color="000000" w:sz="4" w:space="0"/>
              <w:bottom w:val="single" w:color="000000" w:sz="4" w:space="0"/>
              <w:right w:val="single" w:color="000000" w:sz="4" w:space="0"/>
            </w:tcBorders>
            <w:tcMar>
              <w:top w:w="0" w:type="dxa"/>
              <w:left w:w="45" w:type="dxa"/>
              <w:bottom w:w="0" w:type="dxa"/>
              <w:right w:w="45" w:type="dxa"/>
            </w:tcMar>
            <w:vAlign w:val="center"/>
          </w:tcPr>
          <w:p>
            <w:pPr>
              <w:spacing w:line="400" w:lineRule="exact"/>
              <w:jc w:val="center"/>
              <w:rPr>
                <w:rFonts w:ascii="宋体" w:hAnsi="宋体"/>
                <w:color w:val="auto"/>
              </w:rPr>
            </w:pPr>
            <w:r>
              <w:rPr>
                <w:rFonts w:ascii="宋体" w:hAnsi="宋体"/>
                <w:color w:val="auto"/>
              </w:rPr>
              <w:t>15</w:t>
            </w:r>
          </w:p>
        </w:tc>
        <w:tc>
          <w:tcPr>
            <w:tcW w:w="2693" w:type="dxa"/>
            <w:tcBorders>
              <w:top w:val="single" w:color="000000" w:sz="4" w:space="0"/>
              <w:left w:val="single" w:color="000000" w:sz="4" w:space="0"/>
              <w:bottom w:val="single" w:color="000000" w:sz="4" w:space="0"/>
              <w:right w:val="single" w:color="000000" w:sz="4" w:space="0"/>
            </w:tcBorders>
            <w:tcMar>
              <w:top w:w="0" w:type="dxa"/>
              <w:left w:w="45" w:type="dxa"/>
              <w:bottom w:w="0" w:type="dxa"/>
              <w:right w:w="45" w:type="dxa"/>
            </w:tcMar>
            <w:vAlign w:val="center"/>
          </w:tcPr>
          <w:p>
            <w:pPr>
              <w:widowControl/>
              <w:adjustRightInd w:val="0"/>
              <w:snapToGrid w:val="0"/>
              <w:spacing w:line="400" w:lineRule="exact"/>
              <w:jc w:val="center"/>
              <w:textAlignment w:val="center"/>
              <w:rPr>
                <w:rFonts w:ascii="宋体" w:hAnsi="宋体"/>
                <w:color w:val="auto"/>
              </w:rPr>
            </w:pPr>
            <w:r>
              <w:rPr>
                <w:rFonts w:hint="eastAsia" w:ascii="宋体" w:hAnsi="宋体"/>
                <w:color w:val="auto"/>
              </w:rPr>
              <w:t>强弱电桥架</w:t>
            </w:r>
          </w:p>
        </w:tc>
        <w:tc>
          <w:tcPr>
            <w:tcW w:w="3802" w:type="dxa"/>
            <w:tcBorders>
              <w:top w:val="single" w:color="000000" w:sz="4" w:space="0"/>
              <w:left w:val="single" w:color="000000" w:sz="4" w:space="0"/>
              <w:bottom w:val="single" w:color="000000" w:sz="4" w:space="0"/>
              <w:right w:val="single" w:color="000000" w:sz="4" w:space="0"/>
            </w:tcBorders>
            <w:tcMar>
              <w:top w:w="0" w:type="dxa"/>
              <w:left w:w="45" w:type="dxa"/>
              <w:bottom w:w="0" w:type="dxa"/>
              <w:right w:w="45" w:type="dxa"/>
            </w:tcMar>
            <w:vAlign w:val="center"/>
          </w:tcPr>
          <w:p>
            <w:pPr>
              <w:widowControl/>
              <w:adjustRightInd w:val="0"/>
              <w:snapToGrid w:val="0"/>
              <w:spacing w:line="400" w:lineRule="exact"/>
              <w:jc w:val="center"/>
              <w:textAlignment w:val="center"/>
              <w:rPr>
                <w:rFonts w:ascii="宋体" w:hAnsi="宋体"/>
                <w:color w:val="auto"/>
              </w:rPr>
            </w:pPr>
            <w:r>
              <w:rPr>
                <w:rFonts w:hint="eastAsia" w:ascii="宋体" w:hAnsi="宋体"/>
                <w:color w:val="auto"/>
              </w:rPr>
              <w:t>江苏精通、江苏中顺、大全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988" w:type="dxa"/>
            <w:tcBorders>
              <w:top w:val="single" w:color="000000" w:sz="4" w:space="0"/>
              <w:left w:val="single" w:color="000000" w:sz="4" w:space="0"/>
              <w:bottom w:val="single" w:color="000000" w:sz="4" w:space="0"/>
              <w:right w:val="single" w:color="000000" w:sz="4" w:space="0"/>
            </w:tcBorders>
            <w:tcMar>
              <w:top w:w="0" w:type="dxa"/>
              <w:left w:w="45" w:type="dxa"/>
              <w:bottom w:w="0" w:type="dxa"/>
              <w:right w:w="45" w:type="dxa"/>
            </w:tcMar>
            <w:vAlign w:val="center"/>
          </w:tcPr>
          <w:p>
            <w:pPr>
              <w:spacing w:line="400" w:lineRule="exact"/>
              <w:jc w:val="center"/>
              <w:rPr>
                <w:rFonts w:ascii="宋体" w:hAnsi="宋体"/>
                <w:color w:val="auto"/>
              </w:rPr>
            </w:pPr>
            <w:r>
              <w:rPr>
                <w:rFonts w:ascii="宋体" w:hAnsi="宋体"/>
                <w:color w:val="auto"/>
              </w:rPr>
              <w:t>16</w:t>
            </w:r>
          </w:p>
        </w:tc>
        <w:tc>
          <w:tcPr>
            <w:tcW w:w="2693" w:type="dxa"/>
            <w:tcBorders>
              <w:top w:val="single" w:color="000000" w:sz="4" w:space="0"/>
              <w:left w:val="single" w:color="000000" w:sz="4" w:space="0"/>
              <w:bottom w:val="single" w:color="000000" w:sz="4" w:space="0"/>
              <w:right w:val="single" w:color="000000" w:sz="4" w:space="0"/>
            </w:tcBorders>
            <w:tcMar>
              <w:top w:w="0" w:type="dxa"/>
              <w:left w:w="45" w:type="dxa"/>
              <w:bottom w:w="0" w:type="dxa"/>
              <w:right w:w="45" w:type="dxa"/>
            </w:tcMar>
            <w:vAlign w:val="center"/>
          </w:tcPr>
          <w:p>
            <w:pPr>
              <w:widowControl/>
              <w:adjustRightInd w:val="0"/>
              <w:snapToGrid w:val="0"/>
              <w:spacing w:line="400" w:lineRule="exact"/>
              <w:jc w:val="center"/>
              <w:textAlignment w:val="center"/>
              <w:rPr>
                <w:rFonts w:ascii="宋体" w:hAnsi="宋体"/>
                <w:bCs/>
                <w:color w:val="auto"/>
                <w:kern w:val="0"/>
              </w:rPr>
            </w:pPr>
            <w:r>
              <w:rPr>
                <w:rFonts w:hint="eastAsia" w:ascii="宋体" w:hAnsi="宋体"/>
                <w:color w:val="auto"/>
              </w:rPr>
              <w:t>废气处理设备</w:t>
            </w:r>
          </w:p>
        </w:tc>
        <w:tc>
          <w:tcPr>
            <w:tcW w:w="3802" w:type="dxa"/>
            <w:tcBorders>
              <w:top w:val="single" w:color="000000" w:sz="4" w:space="0"/>
              <w:left w:val="single" w:color="000000" w:sz="4" w:space="0"/>
              <w:bottom w:val="single" w:color="000000" w:sz="4" w:space="0"/>
              <w:right w:val="single" w:color="000000" w:sz="4" w:space="0"/>
            </w:tcBorders>
            <w:tcMar>
              <w:top w:w="0" w:type="dxa"/>
              <w:left w:w="45" w:type="dxa"/>
              <w:bottom w:w="0" w:type="dxa"/>
              <w:right w:w="45" w:type="dxa"/>
            </w:tcMar>
            <w:vAlign w:val="center"/>
          </w:tcPr>
          <w:p>
            <w:pPr>
              <w:widowControl/>
              <w:adjustRightInd w:val="0"/>
              <w:snapToGrid w:val="0"/>
              <w:spacing w:line="400" w:lineRule="exact"/>
              <w:jc w:val="center"/>
              <w:textAlignment w:val="center"/>
              <w:rPr>
                <w:rFonts w:hint="eastAsia" w:ascii="宋体" w:hAnsi="宋体" w:eastAsia="宋体"/>
                <w:color w:val="auto"/>
                <w:lang w:eastAsia="zh-CN"/>
              </w:rPr>
            </w:pPr>
            <w:r>
              <w:rPr>
                <w:rFonts w:hint="eastAsia" w:ascii="宋体" w:hAnsi="宋体"/>
                <w:color w:val="auto"/>
                <w:lang w:eastAsia="zh-CN"/>
              </w:rPr>
              <w:t>知名品牌</w:t>
            </w:r>
          </w:p>
        </w:tc>
      </w:tr>
    </w:tbl>
    <w:p>
      <w:pPr>
        <w:ind w:firstLine="420" w:firstLineChars="200"/>
        <w:rPr>
          <w:rFonts w:ascii="宋体" w:hAnsi="宋体"/>
          <w:szCs w:val="21"/>
        </w:rPr>
      </w:pPr>
      <w:r>
        <w:rPr>
          <w:rFonts w:hint="eastAsia" w:ascii="宋体" w:hAnsi="宋体"/>
          <w:szCs w:val="21"/>
        </w:rPr>
        <w:t>投标人可选用采购单位建议品牌，也可选用不低于招标人建议品牌档次的品牌。经三分之二以上评委认定，投标人所报品牌档次不低于招标人建议品牌档次的，将视作有效投标，否则将作无效响应文件处理。</w:t>
      </w:r>
    </w:p>
    <w:p>
      <w:pPr>
        <w:spacing w:before="100" w:after="100"/>
        <w:rPr>
          <w:rFonts w:ascii="宋体" w:hAnsi="宋体" w:cs="宋体"/>
          <w:sz w:val="24"/>
        </w:rPr>
      </w:pPr>
      <w:r>
        <w:rPr>
          <w:rFonts w:ascii="宋体" w:hAnsi="宋体" w:cs="宋体"/>
          <w:sz w:val="24"/>
        </w:rPr>
        <w:br w:type="page"/>
      </w:r>
    </w:p>
    <w:p>
      <w:pPr>
        <w:pStyle w:val="4"/>
        <w:rPr>
          <w:rFonts w:ascii="宋体" w:hAnsi="宋体"/>
          <w:color w:val="000000"/>
          <w:sz w:val="21"/>
          <w:szCs w:val="21"/>
        </w:rPr>
      </w:pPr>
      <w:bookmarkStart w:id="1" w:name="_Toc34991461"/>
      <w:bookmarkStart w:id="2" w:name="_Toc12022"/>
      <w:bookmarkStart w:id="3" w:name="_Toc231286901"/>
      <w:bookmarkStart w:id="4" w:name="_Toc231279589"/>
      <w:bookmarkStart w:id="5" w:name="_Toc231289771"/>
      <w:bookmarkStart w:id="6" w:name="_Toc231279586"/>
      <w:bookmarkStart w:id="7" w:name="_Toc231280804"/>
      <w:bookmarkStart w:id="8" w:name="_Toc231281705"/>
      <w:bookmarkStart w:id="9" w:name="_Toc231304988"/>
      <w:bookmarkStart w:id="10" w:name="_Toc231289932"/>
      <w:bookmarkStart w:id="11" w:name="_Toc231276966"/>
      <w:bookmarkStart w:id="12" w:name="_Toc231289905"/>
      <w:bookmarkStart w:id="13" w:name="_Toc231279156"/>
      <w:bookmarkStart w:id="14" w:name="_Toc231281339"/>
      <w:bookmarkStart w:id="15" w:name="_Toc231282228"/>
      <w:bookmarkStart w:id="16" w:name="_Toc231280344"/>
      <w:bookmarkStart w:id="17" w:name="_Toc231289908"/>
      <w:bookmarkStart w:id="18" w:name="_Toc231279666"/>
      <w:bookmarkStart w:id="19" w:name="_Toc231279737"/>
      <w:bookmarkStart w:id="20" w:name="_Toc231284489"/>
      <w:bookmarkStart w:id="21" w:name="_Toc231279247"/>
      <w:bookmarkStart w:id="22" w:name="_Toc231280938"/>
      <w:bookmarkStart w:id="23" w:name="_Toc231305090"/>
      <w:bookmarkStart w:id="24" w:name="_Toc231280347"/>
      <w:bookmarkStart w:id="25" w:name="_Toc231289774"/>
      <w:bookmarkStart w:id="26" w:name="_Toc231284492"/>
      <w:bookmarkStart w:id="27" w:name="_Toc231289935"/>
      <w:bookmarkStart w:id="28" w:name="_Toc231281708"/>
      <w:bookmarkStart w:id="29" w:name="_Toc231280807"/>
      <w:bookmarkStart w:id="30" w:name="_Toc231304991"/>
      <w:bookmarkStart w:id="31" w:name="_Toc231281342"/>
      <w:bookmarkStart w:id="32" w:name="_Toc231286904"/>
      <w:bookmarkStart w:id="33" w:name="_Toc231279669"/>
      <w:bookmarkStart w:id="34" w:name="_Toc231280941"/>
      <w:bookmarkStart w:id="35" w:name="_Toc231305093"/>
      <w:bookmarkStart w:id="36" w:name="_Toc407266082"/>
      <w:bookmarkStart w:id="37" w:name="_Toc231282231"/>
      <w:bookmarkStart w:id="38" w:name="_Toc231279740"/>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：投标函</w:t>
      </w:r>
      <w:bookmarkEnd w:id="1"/>
      <w:bookmarkEnd w:id="2"/>
    </w:p>
    <w:p>
      <w:pPr>
        <w:jc w:val="center"/>
        <w:rPr>
          <w:rFonts w:ascii="宋体"/>
          <w:color w:val="000000"/>
        </w:rPr>
      </w:pPr>
      <w:r>
        <w:rPr>
          <w:rFonts w:hint="eastAsia" w:ascii="宋体" w:hAnsi="宋体"/>
          <w:b/>
          <w:bCs/>
          <w:color w:val="000000"/>
          <w:sz w:val="44"/>
        </w:rPr>
        <w:t>投</w:t>
      </w:r>
      <w:r>
        <w:rPr>
          <w:rFonts w:ascii="宋体" w:hAnsi="宋体"/>
          <w:b/>
          <w:bCs/>
          <w:color w:val="000000"/>
          <w:sz w:val="44"/>
        </w:rPr>
        <w:t xml:space="preserve">    </w:t>
      </w:r>
      <w:r>
        <w:rPr>
          <w:rFonts w:hint="eastAsia" w:ascii="宋体" w:hAnsi="宋体"/>
          <w:b/>
          <w:bCs/>
          <w:color w:val="000000"/>
          <w:sz w:val="44"/>
        </w:rPr>
        <w:t>标</w:t>
      </w:r>
      <w:r>
        <w:rPr>
          <w:rFonts w:ascii="宋体" w:hAnsi="宋体"/>
          <w:b/>
          <w:bCs/>
          <w:color w:val="000000"/>
          <w:sz w:val="44"/>
        </w:rPr>
        <w:t xml:space="preserve">    </w:t>
      </w:r>
      <w:r>
        <w:rPr>
          <w:rFonts w:hint="eastAsia" w:ascii="宋体" w:hAnsi="宋体"/>
          <w:b/>
          <w:bCs/>
          <w:color w:val="000000"/>
          <w:sz w:val="44"/>
        </w:rPr>
        <w:t>函</w:t>
      </w:r>
    </w:p>
    <w:p>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公开招标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公开招标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公开招标</w:t>
      </w:r>
      <w:r>
        <w:rPr>
          <w:rFonts w:hint="eastAsia"/>
          <w:color w:val="000000"/>
          <w:sz w:val="24"/>
        </w:rPr>
        <w:t>项目及该项目相关人员之间均不存在可能影响</w:t>
      </w:r>
      <w:r>
        <w:rPr>
          <w:rFonts w:hint="eastAsia"/>
          <w:color w:val="000000"/>
          <w:sz w:val="24"/>
          <w:lang w:eastAsia="zh-CN"/>
        </w:rPr>
        <w:t>公开招标</w:t>
      </w:r>
      <w:r>
        <w:rPr>
          <w:rFonts w:hint="eastAsia"/>
          <w:color w:val="000000"/>
          <w:sz w:val="24"/>
        </w:rPr>
        <w:t>公正性的任何利害关系。</w:t>
      </w:r>
    </w:p>
    <w:p>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公开招标</w:t>
      </w:r>
      <w:r>
        <w:rPr>
          <w:rFonts w:hint="eastAsia"/>
          <w:color w:val="000000"/>
          <w:sz w:val="24"/>
        </w:rPr>
        <w:t>文件的要求提供货物和服务，投标货物及服务的投标总价为：</w:t>
      </w:r>
    </w:p>
    <w:p>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公开招标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公开招标</w:t>
      </w:r>
      <w:r>
        <w:rPr>
          <w:rFonts w:hint="eastAsia" w:ascii="宋体" w:hAnsi="宋体"/>
          <w:bCs/>
          <w:color w:val="000000"/>
          <w:sz w:val="24"/>
        </w:rPr>
        <w:t>文件提出质疑的权利。</w:t>
      </w:r>
    </w:p>
    <w:p>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公开招标</w:t>
      </w:r>
      <w:r>
        <w:rPr>
          <w:rFonts w:hint="eastAsia"/>
          <w:color w:val="000000"/>
          <w:sz w:val="24"/>
        </w:rPr>
        <w:t>文件的要求提供所有资料、数据或信息。</w:t>
      </w:r>
    </w:p>
    <w:p>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3"/>
        <w:tblW w:w="7054" w:type="dxa"/>
        <w:jc w:val="center"/>
        <w:tblLayout w:type="fixed"/>
        <w:tblCellMar>
          <w:top w:w="0" w:type="dxa"/>
          <w:left w:w="108" w:type="dxa"/>
          <w:bottom w:w="0" w:type="dxa"/>
          <w:right w:w="108" w:type="dxa"/>
        </w:tblCellMar>
      </w:tblPr>
      <w:tblGrid>
        <w:gridCol w:w="2376"/>
        <w:gridCol w:w="4678"/>
      </w:tblGrid>
      <w:tr>
        <w:tblPrEx>
          <w:tblCellMar>
            <w:top w:w="0" w:type="dxa"/>
            <w:left w:w="108" w:type="dxa"/>
            <w:bottom w:w="0" w:type="dxa"/>
            <w:right w:w="108" w:type="dxa"/>
          </w:tblCellMar>
        </w:tblPrEx>
        <w:trPr>
          <w:trHeight w:val="587" w:hRule="atLeast"/>
          <w:jc w:val="center"/>
        </w:trPr>
        <w:tc>
          <w:tcPr>
            <w:tcW w:w="2376" w:type="dxa"/>
            <w:noWrap w:val="0"/>
            <w:vAlign w:val="top"/>
          </w:tcPr>
          <w:p>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bl>
    <w:p>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pPr>
        <w:pStyle w:val="4"/>
        <w:rPr>
          <w:rFonts w:ascii="宋体" w:hAnsi="宋体"/>
          <w:b w:val="0"/>
          <w:color w:val="000000"/>
          <w:sz w:val="21"/>
          <w:szCs w:val="21"/>
        </w:rPr>
      </w:pPr>
      <w:bookmarkStart w:id="39" w:name="_Toc30593"/>
      <w:bookmarkStart w:id="40" w:name="_Toc34991462"/>
      <w:r>
        <w:rPr>
          <w:rFonts w:hint="eastAsia" w:ascii="宋体" w:hAnsi="宋体"/>
          <w:b w:val="0"/>
          <w:color w:val="000000"/>
          <w:sz w:val="21"/>
          <w:szCs w:val="21"/>
        </w:rPr>
        <w:t>附件</w:t>
      </w:r>
      <w:r>
        <w:rPr>
          <w:rFonts w:ascii="宋体" w:hAnsi="宋体"/>
          <w:b w:val="0"/>
          <w:color w:val="000000"/>
          <w:sz w:val="21"/>
          <w:szCs w:val="21"/>
        </w:rPr>
        <w:t>2</w:t>
      </w:r>
      <w:r>
        <w:rPr>
          <w:rFonts w:hint="eastAsia" w:ascii="宋体" w:hAnsi="宋体"/>
          <w:b w:val="0"/>
          <w:color w:val="000000"/>
          <w:sz w:val="21"/>
          <w:szCs w:val="21"/>
        </w:rPr>
        <w:t>：投</w:t>
      </w:r>
      <w:r>
        <w:rPr>
          <w:rFonts w:ascii="宋体" w:hAnsi="宋体"/>
          <w:b w:val="0"/>
          <w:color w:val="000000"/>
          <w:sz w:val="21"/>
          <w:szCs w:val="21"/>
        </w:rPr>
        <w:t xml:space="preserve"> </w:t>
      </w:r>
      <w:r>
        <w:rPr>
          <w:rFonts w:hint="eastAsia" w:ascii="宋体" w:hAnsi="宋体"/>
          <w:b w:val="0"/>
          <w:color w:val="000000"/>
          <w:sz w:val="21"/>
          <w:szCs w:val="21"/>
        </w:rPr>
        <w:t>标</w:t>
      </w:r>
      <w:r>
        <w:rPr>
          <w:rFonts w:ascii="宋体" w:hAnsi="宋体"/>
          <w:b w:val="0"/>
          <w:color w:val="000000"/>
          <w:sz w:val="21"/>
          <w:szCs w:val="21"/>
        </w:rPr>
        <w:t xml:space="preserve"> </w:t>
      </w:r>
      <w:r>
        <w:rPr>
          <w:rFonts w:hint="eastAsia" w:ascii="宋体" w:hAnsi="宋体"/>
          <w:b w:val="0"/>
          <w:color w:val="000000"/>
          <w:sz w:val="21"/>
          <w:szCs w:val="21"/>
        </w:rPr>
        <w:t>报</w:t>
      </w:r>
      <w:r>
        <w:rPr>
          <w:rFonts w:ascii="宋体" w:hAnsi="宋体"/>
          <w:b w:val="0"/>
          <w:color w:val="000000"/>
          <w:sz w:val="21"/>
          <w:szCs w:val="21"/>
        </w:rPr>
        <w:t xml:space="preserve"> </w:t>
      </w:r>
      <w:r>
        <w:rPr>
          <w:rFonts w:hint="eastAsia" w:ascii="宋体" w:hAnsi="宋体"/>
          <w:b w:val="0"/>
          <w:color w:val="000000"/>
          <w:sz w:val="21"/>
          <w:szCs w:val="21"/>
        </w:rPr>
        <w:t>价</w:t>
      </w:r>
      <w:r>
        <w:rPr>
          <w:rFonts w:ascii="宋体" w:hAnsi="宋体"/>
          <w:b w:val="0"/>
          <w:color w:val="000000"/>
          <w:sz w:val="21"/>
          <w:szCs w:val="21"/>
        </w:rPr>
        <w:t xml:space="preserve"> </w:t>
      </w:r>
      <w:r>
        <w:rPr>
          <w:rFonts w:hint="eastAsia" w:ascii="宋体" w:hAnsi="宋体"/>
          <w:b w:val="0"/>
          <w:color w:val="000000"/>
          <w:sz w:val="21"/>
          <w:szCs w:val="21"/>
        </w:rPr>
        <w:t>总</w:t>
      </w:r>
      <w:r>
        <w:rPr>
          <w:rFonts w:ascii="宋体" w:hAnsi="宋体"/>
          <w:b w:val="0"/>
          <w:color w:val="000000"/>
          <w:sz w:val="21"/>
          <w:szCs w:val="21"/>
        </w:rPr>
        <w:t xml:space="preserve"> </w:t>
      </w:r>
      <w:r>
        <w:rPr>
          <w:rFonts w:hint="eastAsia" w:ascii="宋体" w:hAnsi="宋体"/>
          <w:b w:val="0"/>
          <w:color w:val="000000"/>
          <w:sz w:val="21"/>
          <w:szCs w:val="21"/>
        </w:rPr>
        <w:t>表</w:t>
      </w:r>
      <w:bookmarkEnd w:id="39"/>
      <w:bookmarkEnd w:id="40"/>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3"/>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pPr>
              <w:spacing w:line="360" w:lineRule="auto"/>
              <w:jc w:val="center"/>
              <w:rPr>
                <w:rFonts w:ascii="宋体"/>
                <w:b/>
                <w:color w:val="000000"/>
                <w:sz w:val="24"/>
              </w:rPr>
            </w:pPr>
          </w:p>
        </w:tc>
      </w:tr>
    </w:tbl>
    <w:p>
      <w:pPr>
        <w:spacing w:line="360" w:lineRule="auto"/>
        <w:rPr>
          <w:rFonts w:ascii="宋体"/>
          <w:color w:val="000000"/>
          <w:sz w:val="24"/>
        </w:rPr>
      </w:pPr>
    </w:p>
    <w:p>
      <w:pPr>
        <w:pStyle w:val="4"/>
        <w:rPr>
          <w:rFonts w:ascii="宋体"/>
          <w:b w:val="0"/>
          <w:color w:val="000000"/>
          <w:sz w:val="36"/>
          <w:szCs w:val="36"/>
        </w:rPr>
      </w:pPr>
      <w:r>
        <w:rPr>
          <w:rFonts w:ascii="宋体"/>
          <w:color w:val="000000"/>
          <w:spacing w:val="4"/>
          <w:sz w:val="24"/>
        </w:rPr>
        <w:br w:type="page"/>
      </w:r>
      <w:bookmarkStart w:id="41" w:name="_Toc7052"/>
      <w:bookmarkStart w:id="42" w:name="_Toc34991463"/>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1"/>
      <w:bookmarkEnd w:id="42"/>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3"/>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jc w:val="left"/>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pPr>
              <w:spacing w:line="360" w:lineRule="auto"/>
              <w:jc w:val="center"/>
              <w:rPr>
                <w:rFonts w:ascii="宋体"/>
                <w:b/>
                <w:color w:val="000000"/>
                <w:sz w:val="24"/>
              </w:rPr>
            </w:pPr>
          </w:p>
        </w:tc>
      </w:tr>
    </w:tbl>
    <w:p>
      <w:pPr>
        <w:pStyle w:val="4"/>
        <w:rPr>
          <w:rFonts w:ascii="宋体"/>
          <w:b w:val="0"/>
          <w:color w:val="000000"/>
          <w:sz w:val="36"/>
          <w:szCs w:val="36"/>
        </w:rPr>
      </w:pPr>
      <w:r>
        <w:rPr>
          <w:rFonts w:ascii="宋体" w:hAnsi="宋体"/>
          <w:color w:val="000000"/>
          <w:spacing w:val="4"/>
          <w:sz w:val="24"/>
        </w:rPr>
        <w:br w:type="page"/>
      </w:r>
      <w:bookmarkStart w:id="43" w:name="_Toc34991464"/>
      <w:bookmarkStart w:id="44" w:name="_Toc8152"/>
      <w:r>
        <w:rPr>
          <w:rFonts w:hint="eastAsia" w:ascii="宋体" w:hAnsi="宋体"/>
          <w:b w:val="0"/>
          <w:color w:val="000000"/>
          <w:sz w:val="21"/>
          <w:szCs w:val="21"/>
        </w:rPr>
        <w:t>附件</w:t>
      </w:r>
      <w:r>
        <w:rPr>
          <w:rFonts w:ascii="宋体" w:hAnsi="宋体"/>
          <w:b w:val="0"/>
          <w:color w:val="000000"/>
          <w:sz w:val="21"/>
          <w:szCs w:val="21"/>
        </w:rPr>
        <w:t>4</w:t>
      </w:r>
      <w:r>
        <w:rPr>
          <w:rFonts w:hint="eastAsia" w:ascii="宋体" w:hAnsi="宋体"/>
          <w:b w:val="0"/>
          <w:color w:val="000000"/>
          <w:sz w:val="21"/>
          <w:szCs w:val="21"/>
        </w:rPr>
        <w:t>：技术规格响应</w:t>
      </w:r>
      <w:r>
        <w:rPr>
          <w:rFonts w:ascii="宋体" w:hAnsi="宋体"/>
          <w:b w:val="0"/>
          <w:color w:val="000000"/>
          <w:sz w:val="21"/>
          <w:szCs w:val="21"/>
        </w:rPr>
        <w:t>/</w:t>
      </w:r>
      <w:r>
        <w:rPr>
          <w:rFonts w:hint="eastAsia" w:ascii="宋体" w:hAnsi="宋体"/>
          <w:b w:val="0"/>
          <w:color w:val="000000"/>
          <w:sz w:val="21"/>
          <w:szCs w:val="21"/>
        </w:rPr>
        <w:t>偏离表</w:t>
      </w:r>
      <w:bookmarkEnd w:id="43"/>
      <w:bookmarkEnd w:id="44"/>
    </w:p>
    <w:p>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3"/>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采购规格</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投标规格</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pPr>
      <w:r>
        <w:rPr>
          <w:rFonts w:hint="eastAsia" w:ascii="宋体" w:hAnsi="宋体"/>
          <w:color w:val="000000"/>
          <w:sz w:val="24"/>
        </w:rPr>
        <w:t>注：投标人应对照用户需求表中的技术规格，逐条核对所提供货物/服务是否做出了实质性的响应，有</w:t>
      </w:r>
      <w:r>
        <w:rPr>
          <w:rFonts w:hint="eastAsia" w:ascii="宋体" w:hAnsi="宋体"/>
          <w:color w:val="000000"/>
          <w:sz w:val="24"/>
          <w:lang w:eastAsia="zh-CN"/>
        </w:rPr>
        <w:t>偏离的必须作出</w:t>
      </w:r>
      <w:r>
        <w:rPr>
          <w:rFonts w:hint="eastAsia" w:ascii="宋体" w:hAnsi="宋体"/>
          <w:color w:val="000000"/>
          <w:sz w:val="24"/>
        </w:rPr>
        <w:t>说明，对有具体参数要求的指标项，投标人必须提供本次投标货物的具体参数值。</w:t>
      </w:r>
    </w:p>
    <w:p>
      <w:pPr>
        <w:pStyle w:val="4"/>
        <w:rPr>
          <w:rFonts w:ascii="宋体"/>
          <w:b w:val="0"/>
          <w:color w:val="000000"/>
          <w:sz w:val="36"/>
          <w:szCs w:val="36"/>
        </w:rPr>
      </w:pPr>
      <w:r>
        <w:rPr>
          <w:rFonts w:ascii="宋体"/>
          <w:color w:val="000000"/>
          <w:sz w:val="24"/>
        </w:rPr>
        <w:br w:type="page"/>
      </w:r>
      <w:bookmarkStart w:id="45" w:name="_Toc17756"/>
      <w:bookmarkStart w:id="46" w:name="_Toc34991465"/>
      <w:r>
        <w:rPr>
          <w:rFonts w:hint="eastAsia" w:ascii="宋体" w:hAnsi="宋体"/>
          <w:b w:val="0"/>
          <w:color w:val="000000"/>
          <w:sz w:val="21"/>
          <w:szCs w:val="21"/>
        </w:rPr>
        <w:t>附件</w:t>
      </w:r>
      <w:r>
        <w:rPr>
          <w:rFonts w:ascii="宋体" w:hAnsi="宋体"/>
          <w:b w:val="0"/>
          <w:color w:val="000000"/>
          <w:sz w:val="21"/>
          <w:szCs w:val="21"/>
        </w:rPr>
        <w:t>5</w:t>
      </w:r>
      <w:r>
        <w:rPr>
          <w:rFonts w:hint="eastAsia" w:ascii="宋体" w:hAnsi="宋体"/>
          <w:b w:val="0"/>
          <w:color w:val="000000"/>
          <w:sz w:val="21"/>
          <w:szCs w:val="21"/>
        </w:rPr>
        <w:t>：商务条款响应</w:t>
      </w:r>
      <w:r>
        <w:rPr>
          <w:rFonts w:ascii="宋体" w:hAnsi="宋体"/>
          <w:b w:val="0"/>
          <w:color w:val="000000"/>
          <w:sz w:val="21"/>
          <w:szCs w:val="21"/>
        </w:rPr>
        <w:t>/</w:t>
      </w:r>
      <w:r>
        <w:rPr>
          <w:rFonts w:hint="eastAsia" w:ascii="宋体" w:hAnsi="宋体"/>
          <w:b w:val="0"/>
          <w:color w:val="000000"/>
          <w:sz w:val="21"/>
          <w:szCs w:val="21"/>
        </w:rPr>
        <w:t>偏离表</w:t>
      </w:r>
      <w:bookmarkEnd w:id="45"/>
      <w:bookmarkEnd w:id="46"/>
    </w:p>
    <w:p>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3"/>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bookmarkStart w:id="54" w:name="_GoBack"/>
      <w:bookmarkEnd w:id="54"/>
      <w:r>
        <w:rPr>
          <w:rFonts w:hint="eastAsia" w:ascii="宋体" w:hAnsi="宋体"/>
          <w:color w:val="000000"/>
          <w:sz w:val="24"/>
        </w:rPr>
        <w:t>说明。</w:t>
      </w:r>
    </w:p>
    <w:p>
      <w:pPr>
        <w:pStyle w:val="4"/>
        <w:rPr>
          <w:rFonts w:ascii="宋体" w:hAnsi="宋体"/>
          <w:b w:val="0"/>
          <w:color w:val="000000"/>
          <w:sz w:val="21"/>
          <w:szCs w:val="21"/>
        </w:rPr>
      </w:pPr>
      <w:bookmarkStart w:id="47" w:name="_Toc34991466"/>
      <w:bookmarkStart w:id="48" w:name="_Toc29319"/>
      <w:r>
        <w:rPr>
          <w:rFonts w:hint="eastAsia" w:ascii="宋体" w:hAnsi="宋体"/>
          <w:b w:val="0"/>
          <w:color w:val="000000"/>
          <w:sz w:val="21"/>
          <w:szCs w:val="21"/>
        </w:rPr>
        <w:t>附件</w:t>
      </w:r>
      <w:r>
        <w:rPr>
          <w:rFonts w:ascii="宋体" w:hAnsi="宋体"/>
          <w:b w:val="0"/>
          <w:color w:val="000000"/>
          <w:sz w:val="21"/>
          <w:szCs w:val="21"/>
        </w:rPr>
        <w:t>6</w:t>
      </w:r>
      <w:r>
        <w:rPr>
          <w:rFonts w:hint="eastAsia" w:ascii="宋体" w:hAnsi="宋体"/>
          <w:b w:val="0"/>
          <w:color w:val="000000"/>
          <w:sz w:val="21"/>
          <w:szCs w:val="21"/>
        </w:rPr>
        <w:t>：法定代表人资格证明</w:t>
      </w:r>
      <w:bookmarkEnd w:id="47"/>
      <w:bookmarkEnd w:id="48"/>
    </w:p>
    <w:p>
      <w:pPr>
        <w:jc w:val="center"/>
        <w:rPr>
          <w:b/>
          <w:color w:val="000000"/>
          <w:sz w:val="44"/>
          <w:szCs w:val="44"/>
        </w:rPr>
      </w:pPr>
      <w:r>
        <w:rPr>
          <w:rFonts w:hint="eastAsia"/>
          <w:b/>
          <w:color w:val="000000"/>
          <w:sz w:val="44"/>
          <w:szCs w:val="44"/>
        </w:rPr>
        <w:t>法定代表人资格证明</w:t>
      </w:r>
    </w:p>
    <w:p>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pPr>
        <w:widowControl/>
        <w:wordWrap w:val="0"/>
        <w:snapToGrid w:val="0"/>
        <w:spacing w:before="90" w:after="90" w:line="360" w:lineRule="auto"/>
        <w:ind w:firstLine="600"/>
        <w:jc w:val="left"/>
        <w:rPr>
          <w:rFonts w:ascii="宋体" w:cs="宋体"/>
          <w:color w:val="000000"/>
          <w:kern w:val="0"/>
          <w:sz w:val="28"/>
          <w:szCs w:val="28"/>
        </w:rPr>
      </w:pP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p>
    <w:p>
      <w:pPr>
        <w:pStyle w:val="4"/>
        <w:rPr>
          <w:color w:val="000000"/>
        </w:rPr>
      </w:pPr>
      <w:bookmarkStart w:id="49" w:name="_Toc34991467"/>
      <w:bookmarkStart w:id="50" w:name="_Toc13075"/>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1312;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ascii="宋体" w:hAnsi="宋体"/>
          <w:b w:val="0"/>
          <w:color w:val="000000"/>
          <w:sz w:val="21"/>
          <w:szCs w:val="21"/>
        </w:rPr>
        <w:t>7</w:t>
      </w:r>
      <w:r>
        <w:rPr>
          <w:rFonts w:hint="eastAsia" w:ascii="宋体" w:hAnsi="宋体"/>
          <w:b w:val="0"/>
          <w:color w:val="000000"/>
          <w:sz w:val="21"/>
          <w:szCs w:val="21"/>
        </w:rPr>
        <w:t>：法定代表人授权书</w:t>
      </w:r>
      <w:bookmarkEnd w:id="49"/>
      <w:bookmarkEnd w:id="50"/>
    </w:p>
    <w:p>
      <w:pPr>
        <w:jc w:val="center"/>
        <w:rPr>
          <w:b/>
          <w:color w:val="000000"/>
          <w:sz w:val="44"/>
          <w:szCs w:val="44"/>
        </w:rPr>
      </w:pPr>
      <w:r>
        <w:rPr>
          <w:rFonts w:hint="eastAsia"/>
          <w:b/>
          <w:color w:val="000000"/>
          <w:sz w:val="44"/>
          <w:szCs w:val="44"/>
        </w:rPr>
        <w:t>法定代表人授权书</w:t>
      </w:r>
    </w:p>
    <w:p>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（正面）</w:t>
                      </w:r>
                    </w:p>
                  </w:txbxContent>
                </v:textbox>
              </v:shape>
            </w:pict>
          </mc:Fallback>
        </mc:AlternateContent>
      </w:r>
    </w:p>
    <w:p>
      <w:pPr>
        <w:spacing w:line="360" w:lineRule="auto"/>
        <w:ind w:right="-351" w:rightChars="-167"/>
        <w:rPr>
          <w:color w:val="000000"/>
          <w:sz w:val="28"/>
          <w:szCs w:val="28"/>
        </w:rPr>
      </w:pPr>
    </w:p>
    <w:p>
      <w:pPr>
        <w:spacing w:line="360" w:lineRule="auto"/>
        <w:ind w:right="-351" w:rightChars="-167"/>
        <w:rPr>
          <w:color w:val="000000"/>
          <w:sz w:val="28"/>
          <w:szCs w:val="28"/>
        </w:rPr>
      </w:pPr>
    </w:p>
    <w:p>
      <w:pPr>
        <w:spacing w:line="360" w:lineRule="auto"/>
        <w:ind w:right="-351" w:rightChars="-167"/>
        <w:rPr>
          <w:color w:val="000000"/>
          <w:sz w:val="28"/>
          <w:szCs w:val="28"/>
        </w:rPr>
      </w:pPr>
    </w:p>
    <w:p>
      <w:pPr>
        <w:pStyle w:val="27"/>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pPr>
        <w:pStyle w:val="4"/>
        <w:rPr>
          <w:b w:val="0"/>
          <w:color w:val="000000"/>
          <w:sz w:val="44"/>
          <w:szCs w:val="44"/>
        </w:rPr>
      </w:pPr>
      <w:r>
        <w:rPr>
          <w:color w:val="000000"/>
        </w:rPr>
        <w:br w:type="page"/>
      </w:r>
      <w:bookmarkStart w:id="51" w:name="_Toc30136"/>
      <w:bookmarkStart w:id="52" w:name="_Toc34991468"/>
      <w:r>
        <w:rPr>
          <w:rFonts w:hint="eastAsia" w:ascii="宋体" w:hAnsi="宋体"/>
          <w:b w:val="0"/>
          <w:color w:val="000000"/>
          <w:sz w:val="21"/>
          <w:szCs w:val="21"/>
        </w:rPr>
        <w:t>附件8：报名投标确认函</w:t>
      </w:r>
      <w:bookmarkEnd w:id="51"/>
      <w:bookmarkEnd w:id="52"/>
    </w:p>
    <w:p>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提供</w:t>
      </w:r>
      <w:r>
        <w:rPr>
          <w:rFonts w:hint="eastAsia" w:ascii="宋体" w:hAnsi="宋体" w:cs="宋体"/>
          <w:color w:val="000000"/>
          <w:kern w:val="0"/>
          <w:sz w:val="24"/>
          <w:lang w:eastAsia="zh-CN"/>
        </w:rPr>
        <w:t>）</w:t>
      </w:r>
      <w:r>
        <w:rPr>
          <w:rFonts w:hint="eastAsia" w:ascii="宋体" w:hAnsi="宋体" w:cs="宋体"/>
          <w:color w:val="000000"/>
          <w:kern w:val="0"/>
          <w:sz w:val="24"/>
        </w:rPr>
        <w:t>；</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投标</w:t>
      </w:r>
      <w:r>
        <w:rPr>
          <w:rFonts w:hint="eastAsia" w:ascii="宋体" w:hAnsi="宋体" w:cs="宋体"/>
          <w:color w:val="000000"/>
          <w:kern w:val="0"/>
          <w:sz w:val="24"/>
        </w:rPr>
        <w:t>保证金并会准时参加本次采购的投标；</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pPr>
        <w:widowControl/>
        <w:snapToGrid w:val="0"/>
        <w:spacing w:line="460" w:lineRule="exact"/>
        <w:ind w:firstLine="601"/>
        <w:jc w:val="left"/>
        <w:rPr>
          <w:rFonts w:ascii="黑体" w:hAnsi="黑体" w:eastAsia="黑体"/>
          <w:b/>
          <w:color w:val="000000"/>
        </w:rPr>
      </w:pPr>
      <w:r>
        <w:rPr>
          <w:rFonts w:hint="eastAsia" w:ascii="宋体" w:hAnsi="宋体" w:cs="宋体"/>
          <w:color w:val="000000"/>
          <w:kern w:val="0"/>
          <w:sz w:val="24"/>
        </w:rPr>
        <w:t>4、我单位与本项目相关负责人之间均不存在可能影响公正性的任何利害关系。</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如我单位提供虚假信息或未履行以上承诺，贵校可全额没收我单位缴纳的投标保证金（作为预定的损害赔偿而非罚款）。</w:t>
      </w: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pPr>
        <w:pStyle w:val="23"/>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pPr>
        <w:pStyle w:val="23"/>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3"/>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pPr>
        <w:pStyle w:val="23"/>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pPr>
        <w:pStyle w:val="23"/>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3"/>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pPr>
        <w:spacing w:line="460" w:lineRule="exact"/>
        <w:rPr>
          <w:rFonts w:ascii="黑体" w:hAnsi="黑体" w:eastAsia="黑体"/>
          <w:b/>
          <w:color w:val="000000"/>
          <w:sz w:val="24"/>
          <w:u w:val="single"/>
        </w:rPr>
      </w:pPr>
    </w:p>
    <w:p>
      <w:pPr>
        <w:spacing w:line="460" w:lineRule="exact"/>
        <w:rPr>
          <w:rFonts w:ascii="宋体" w:hAnsi="宋体"/>
          <w:color w:val="000000"/>
          <w:sz w:val="24"/>
          <w:u w:val="single"/>
        </w:rPr>
      </w:pPr>
      <w:r>
        <w:rPr>
          <w:rFonts w:hint="eastAsia" w:ascii="黑体" w:hAnsi="黑体" w:eastAsia="黑体"/>
          <w:b/>
          <w:bCs w:val="0"/>
          <w:color w:val="000000"/>
          <w:sz w:val="24"/>
          <w:u w:val="none"/>
        </w:rPr>
        <w:t>备注</w:t>
      </w:r>
      <w:r>
        <w:rPr>
          <w:rFonts w:hint="eastAsia" w:ascii="黑体" w:hAnsi="黑体" w:eastAsia="黑体"/>
          <w:b/>
          <w:bCs w:val="0"/>
          <w:color w:val="000000"/>
          <w:sz w:val="24"/>
          <w:u w:val="none"/>
          <w:lang w:eastAsia="zh-CN"/>
        </w:rPr>
        <w:t>：</w:t>
      </w:r>
      <w:r>
        <w:rPr>
          <w:rFonts w:hint="eastAsia" w:ascii="宋体" w:hAnsi="宋体" w:eastAsia="黑体"/>
          <w:color w:val="000000"/>
          <w:sz w:val="24"/>
          <w:lang w:val="en-US" w:eastAsia="zh-CN"/>
        </w:rPr>
        <w:t>1.</w:t>
      </w:r>
      <w:r>
        <w:rPr>
          <w:rFonts w:hint="eastAsia" w:ascii="宋体" w:hAnsi="宋体"/>
          <w:color w:val="000000"/>
          <w:sz w:val="24"/>
        </w:rPr>
        <w:t>准备参与本项目投标的单位如实填写后通过电子邮箱</w:t>
      </w:r>
      <w:r>
        <w:rPr>
          <w:rFonts w:hint="eastAsia" w:ascii="黑体" w:hAnsi="黑体" w:eastAsia="黑体"/>
          <w:b/>
          <w:color w:val="000000"/>
          <w:sz w:val="24"/>
        </w:rPr>
        <w:t>（PDF及word版本）</w:t>
      </w:r>
      <w:r>
        <w:rPr>
          <w:rFonts w:hint="eastAsia" w:ascii="宋体" w:hAnsi="宋体"/>
          <w:color w:val="000000"/>
          <w:sz w:val="24"/>
        </w:rPr>
        <w:t>发送到（邮箱：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lang w:val="en-US" w:eastAsia="zh-CN"/>
        </w:rPr>
        <w:t>2</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pPr>
        <w:spacing w:line="480" w:lineRule="auto"/>
        <w:jc w:val="center"/>
        <w:rPr>
          <w:rFonts w:ascii="仿宋" w:hAnsi="仿宋" w:eastAsia="仿宋"/>
          <w:b/>
          <w:position w:val="-12"/>
          <w:sz w:val="36"/>
          <w:szCs w:val="36"/>
        </w:rPr>
      </w:pPr>
      <w:r>
        <w:rPr>
          <w:rFonts w:hint="eastAsia" w:ascii="仿宋" w:hAnsi="仿宋" w:eastAsia="仿宋"/>
          <w:b/>
          <w:position w:val="-12"/>
          <w:sz w:val="36"/>
          <w:szCs w:val="36"/>
        </w:rPr>
        <w:t>承 诺 书</w:t>
      </w:r>
    </w:p>
    <w:p>
      <w:pPr>
        <w:adjustRightInd w:val="0"/>
        <w:snapToGrid w:val="0"/>
        <w:spacing w:line="400" w:lineRule="exact"/>
        <w:rPr>
          <w:rFonts w:ascii="仿宋" w:hAnsi="仿宋" w:eastAsia="仿宋"/>
          <w:b/>
          <w:sz w:val="28"/>
          <w:szCs w:val="28"/>
          <w:u w:val="single"/>
        </w:rPr>
      </w:pPr>
      <w:r>
        <w:rPr>
          <w:rFonts w:hint="eastAsia" w:ascii="仿宋" w:hAnsi="仿宋" w:eastAsia="仿宋"/>
          <w:b/>
          <w:sz w:val="28"/>
          <w:szCs w:val="28"/>
        </w:rPr>
        <w:t>致：</w:t>
      </w:r>
      <w:r>
        <w:rPr>
          <w:rFonts w:hint="eastAsia" w:ascii="仿宋" w:hAnsi="仿宋" w:eastAsia="仿宋"/>
          <w:b/>
          <w:sz w:val="28"/>
          <w:szCs w:val="28"/>
          <w:u w:val="single"/>
        </w:rPr>
        <w:t xml:space="preserve">                                  </w:t>
      </w:r>
    </w:p>
    <w:p>
      <w:pPr>
        <w:adjustRightInd w:val="0"/>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我单位完全响应并认可本项目招标文件的全部内容，没有任何异议。本企业使作下列郑重承诺：</w:t>
      </w:r>
    </w:p>
    <w:p>
      <w:pPr>
        <w:adjustRightInd w:val="0"/>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一、我公司严格执行国家，当地政府部门及总承包单位的法规、政策及规章制度，依法进行施工分包和用工管理，不搞挂靠和接受挂靠，不使用小包工队伍和未培训的社会闲散人员。</w:t>
      </w:r>
    </w:p>
    <w:p>
      <w:pPr>
        <w:adjustRightInd w:val="0"/>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二、我公司使用劳务工人，保证做到先培训，后上岗，持证率达到100％。</w:t>
      </w:r>
    </w:p>
    <w:p>
      <w:pPr>
        <w:adjustRightInd w:val="0"/>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三、我公司使用建筑劳务工，依法与劳动者本人签订书面劳动合同签订率100%，明确双方的权利和义务，详细约定劳动作业的内容、计价方法、支付劳动工资的时间和发生违约后各自应承担的责任，并经双方签字（章）认可。</w:t>
      </w:r>
    </w:p>
    <w:p>
      <w:pPr>
        <w:adjustRightInd w:val="0"/>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四、我公司严格按照劳动合同约定向劳动工人发放劳动工资，不管在任何情况下，绝不拖欠劳务工工资，每次发放工资经劳动者本人签字。</w:t>
      </w:r>
    </w:p>
    <w:p>
      <w:pPr>
        <w:adjustRightInd w:val="0"/>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五、我公司接受总承包方的监督与管理。执行总包方劳务用工和工资支付的相关规定，按时足额缴纳劳务工人保障基金，在总包项目经理部的直接监督管理下，做好劳务工工资支付工作。并按照总包方的要求，按时报送工资支付情况统计表。</w:t>
      </w:r>
    </w:p>
    <w:p>
      <w:pPr>
        <w:adjustRightInd w:val="0"/>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六、在有条件的地区，委托总包方在银行开设“劳务工工资专户”，建立工资卡，将工资直接打入劳务工个人卡中，并接受总包方对“工资专户”资金使用情况的监督管理。</w:t>
      </w:r>
    </w:p>
    <w:p>
      <w:pPr>
        <w:adjustRightInd w:val="0"/>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七、我公司发生资金矛盾时，无条件先行支付劳务工工资。</w:t>
      </w:r>
    </w:p>
    <w:p>
      <w:pPr>
        <w:adjustRightInd w:val="0"/>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八、我公司拖欠劳务工工资，且处置不当导致引起工人上访，造成不良影响的，除对相关责任人作出严肃处理外，愿根据分包合同约定，接受终止分包合同的处理。</w:t>
      </w:r>
    </w:p>
    <w:p>
      <w:pPr>
        <w:adjustRightInd w:val="0"/>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九、我公司成立劳务工工资支付纠纷处理领导小组，法定代表人及其项目经理分别是处置工资纠纷在企业和项目的第一责任人，并有专人负责此项工作，保证把纠纷化解在本企业，决不以任何借口进行推诿，拖延。一旦发生上访事件，企业及时向地方政府汇报，主动靠上去做工作，争取最大限度化解矛盾，减少负面影响。</w:t>
      </w:r>
    </w:p>
    <w:p>
      <w:pPr>
        <w:adjustRightInd w:val="0"/>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十、我公司在每个建筑工地张贴建筑劳务工人工作纠纷处置告示，公布劳务工工作管理制度，发生纠纷的处理程序，我公司和项目部负责处理纠纷的人员姓名、电话和地点。热情接待、认真处理好每起工资纠纷。</w:t>
      </w:r>
    </w:p>
    <w:p>
      <w:pPr>
        <w:adjustRightInd w:val="0"/>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十一、我公司严格遵守总包方安全管理规章制度，履行安全生产协议，做好劳务工人进驻前安全教育培训工作，接受总包方安全生产监督检查并承担相应的责任。</w:t>
      </w:r>
    </w:p>
    <w:p>
      <w:pPr>
        <w:adjustRightInd w:val="0"/>
        <w:snapToGrid w:val="0"/>
        <w:spacing w:line="400" w:lineRule="exact"/>
        <w:ind w:firstLine="560" w:firstLineChars="200"/>
        <w:rPr>
          <w:rFonts w:ascii="仿宋" w:hAnsi="仿宋" w:eastAsia="仿宋"/>
          <w:sz w:val="28"/>
          <w:szCs w:val="28"/>
        </w:rPr>
      </w:pPr>
    </w:p>
    <w:p>
      <w:pPr>
        <w:adjustRightInd w:val="0"/>
        <w:snapToGrid w:val="0"/>
        <w:spacing w:line="400" w:lineRule="exact"/>
        <w:ind w:firstLine="5320" w:firstLineChars="1900"/>
        <w:rPr>
          <w:rFonts w:ascii="仿宋" w:hAnsi="仿宋" w:eastAsia="仿宋"/>
          <w:sz w:val="28"/>
          <w:szCs w:val="28"/>
        </w:rPr>
      </w:pPr>
    </w:p>
    <w:p>
      <w:pPr>
        <w:adjustRightInd w:val="0"/>
        <w:snapToGrid w:val="0"/>
        <w:spacing w:line="400" w:lineRule="exact"/>
        <w:ind w:firstLine="5320" w:firstLineChars="1900"/>
        <w:rPr>
          <w:rFonts w:ascii="仿宋" w:hAnsi="仿宋" w:eastAsia="仿宋"/>
          <w:sz w:val="28"/>
          <w:szCs w:val="28"/>
        </w:rPr>
      </w:pPr>
    </w:p>
    <w:p>
      <w:pPr>
        <w:adjustRightInd w:val="0"/>
        <w:snapToGrid w:val="0"/>
        <w:spacing w:line="400" w:lineRule="exact"/>
        <w:ind w:firstLine="5320" w:firstLineChars="1900"/>
        <w:rPr>
          <w:rFonts w:ascii="仿宋" w:hAnsi="仿宋" w:eastAsia="仿宋"/>
          <w:sz w:val="28"/>
          <w:szCs w:val="28"/>
        </w:rPr>
      </w:pPr>
    </w:p>
    <w:p>
      <w:pPr>
        <w:adjustRightInd w:val="0"/>
        <w:snapToGrid w:val="0"/>
        <w:spacing w:line="400" w:lineRule="exact"/>
        <w:ind w:firstLine="3654" w:firstLineChars="1300"/>
        <w:rPr>
          <w:rFonts w:ascii="仿宋" w:hAnsi="仿宋" w:eastAsia="仿宋"/>
          <w:b/>
          <w:bCs/>
          <w:sz w:val="28"/>
          <w:szCs w:val="28"/>
        </w:rPr>
      </w:pPr>
      <w:r>
        <w:rPr>
          <w:rFonts w:hint="eastAsia" w:ascii="仿宋" w:hAnsi="仿宋" w:eastAsia="仿宋"/>
          <w:b/>
          <w:bCs/>
          <w:sz w:val="28"/>
          <w:szCs w:val="28"/>
        </w:rPr>
        <w:t xml:space="preserve">投标单位（盖章）：             </w:t>
      </w:r>
    </w:p>
    <w:p>
      <w:pPr>
        <w:adjustRightInd w:val="0"/>
        <w:snapToGrid w:val="0"/>
        <w:spacing w:line="400" w:lineRule="exact"/>
        <w:ind w:firstLine="600"/>
        <w:rPr>
          <w:rFonts w:ascii="仿宋" w:hAnsi="仿宋" w:eastAsia="仿宋"/>
          <w:b/>
          <w:bCs/>
          <w:sz w:val="28"/>
          <w:szCs w:val="28"/>
        </w:rPr>
      </w:pPr>
    </w:p>
    <w:p>
      <w:pPr>
        <w:adjustRightInd w:val="0"/>
        <w:snapToGrid w:val="0"/>
        <w:spacing w:line="400" w:lineRule="exact"/>
        <w:ind w:firstLine="3654" w:firstLineChars="1300"/>
        <w:rPr>
          <w:rFonts w:ascii="仿宋" w:hAnsi="仿宋" w:eastAsia="仿宋"/>
          <w:b/>
          <w:bCs/>
          <w:sz w:val="28"/>
          <w:szCs w:val="28"/>
        </w:rPr>
      </w:pPr>
      <w:r>
        <w:rPr>
          <w:rFonts w:hint="eastAsia" w:ascii="仿宋" w:hAnsi="仿宋" w:eastAsia="仿宋"/>
          <w:b/>
          <w:bCs/>
          <w:sz w:val="28"/>
          <w:szCs w:val="28"/>
        </w:rPr>
        <w:t>法定代表人（委托人）：</w:t>
      </w:r>
    </w:p>
    <w:p>
      <w:pPr>
        <w:adjustRightInd w:val="0"/>
        <w:snapToGrid w:val="0"/>
        <w:spacing w:line="400" w:lineRule="exact"/>
        <w:ind w:firstLine="600"/>
        <w:rPr>
          <w:rFonts w:ascii="仿宋" w:hAnsi="仿宋" w:eastAsia="仿宋"/>
          <w:b/>
          <w:bCs/>
          <w:sz w:val="28"/>
          <w:szCs w:val="28"/>
        </w:rPr>
      </w:pPr>
    </w:p>
    <w:p>
      <w:pPr>
        <w:adjustRightInd w:val="0"/>
        <w:snapToGrid w:val="0"/>
        <w:spacing w:line="400" w:lineRule="exact"/>
        <w:ind w:firstLine="3654" w:firstLineChars="1300"/>
        <w:rPr>
          <w:rFonts w:ascii="仿宋" w:hAnsi="仿宋" w:eastAsia="仿宋"/>
          <w:b/>
          <w:bCs/>
          <w:sz w:val="28"/>
          <w:szCs w:val="28"/>
        </w:rPr>
      </w:pPr>
      <w:r>
        <w:rPr>
          <w:rFonts w:hint="eastAsia" w:ascii="仿宋" w:hAnsi="仿宋" w:eastAsia="仿宋"/>
          <w:b/>
          <w:bCs/>
          <w:sz w:val="28"/>
          <w:szCs w:val="28"/>
        </w:rPr>
        <w:t xml:space="preserve">联系地址：                 </w:t>
      </w:r>
    </w:p>
    <w:p>
      <w:pPr>
        <w:adjustRightInd w:val="0"/>
        <w:snapToGrid w:val="0"/>
        <w:spacing w:line="400" w:lineRule="exact"/>
        <w:rPr>
          <w:rFonts w:ascii="仿宋" w:hAnsi="仿宋" w:eastAsia="仿宋"/>
          <w:b/>
          <w:bCs/>
          <w:sz w:val="28"/>
          <w:szCs w:val="28"/>
        </w:rPr>
      </w:pPr>
      <w:r>
        <w:rPr>
          <w:rFonts w:hint="eastAsia" w:ascii="仿宋" w:hAnsi="仿宋" w:eastAsia="仿宋"/>
          <w:b/>
          <w:bCs/>
          <w:sz w:val="28"/>
          <w:szCs w:val="28"/>
        </w:rPr>
        <w:t xml:space="preserve">                                  </w:t>
      </w:r>
    </w:p>
    <w:p>
      <w:pPr>
        <w:adjustRightInd w:val="0"/>
        <w:snapToGrid w:val="0"/>
        <w:spacing w:line="400" w:lineRule="exact"/>
        <w:ind w:firstLine="3654" w:firstLineChars="1300"/>
        <w:rPr>
          <w:rFonts w:ascii="仿宋" w:hAnsi="仿宋" w:eastAsia="仿宋"/>
          <w:b/>
          <w:bCs/>
          <w:sz w:val="28"/>
          <w:szCs w:val="28"/>
        </w:rPr>
      </w:pPr>
      <w:r>
        <w:rPr>
          <w:rFonts w:hint="eastAsia" w:ascii="仿宋" w:hAnsi="仿宋" w:eastAsia="仿宋"/>
          <w:b/>
          <w:bCs/>
          <w:sz w:val="28"/>
          <w:szCs w:val="28"/>
        </w:rPr>
        <w:t xml:space="preserve">电    话：   </w:t>
      </w:r>
    </w:p>
    <w:p>
      <w:pPr>
        <w:adjustRightInd w:val="0"/>
        <w:snapToGrid w:val="0"/>
        <w:spacing w:line="400" w:lineRule="exact"/>
        <w:ind w:firstLine="600"/>
        <w:rPr>
          <w:rFonts w:ascii="仿宋" w:hAnsi="仿宋" w:eastAsia="仿宋"/>
          <w:b/>
          <w:bCs/>
          <w:sz w:val="28"/>
          <w:szCs w:val="28"/>
        </w:rPr>
      </w:pPr>
    </w:p>
    <w:p>
      <w:pPr>
        <w:adjustRightInd w:val="0"/>
        <w:snapToGrid w:val="0"/>
        <w:spacing w:line="400" w:lineRule="exact"/>
        <w:ind w:firstLine="3654" w:firstLineChars="1300"/>
        <w:rPr>
          <w:rFonts w:ascii="仿宋" w:hAnsi="仿宋" w:eastAsia="仿宋"/>
          <w:sz w:val="28"/>
          <w:szCs w:val="28"/>
        </w:rPr>
      </w:pPr>
      <w:r>
        <w:rPr>
          <w:rFonts w:hint="eastAsia" w:ascii="仿宋" w:hAnsi="仿宋" w:eastAsia="仿宋"/>
          <w:b/>
          <w:bCs/>
          <w:sz w:val="28"/>
          <w:szCs w:val="28"/>
        </w:rPr>
        <w:t>日    期：     年     月    日</w:t>
      </w:r>
    </w:p>
    <w:p>
      <w:bookmarkStart w:id="53" w:name="_Toc17875487"/>
    </w:p>
    <w:p/>
    <w:p/>
    <w:p/>
    <w:p/>
    <w:p/>
    <w:p/>
    <w:p/>
    <w:p/>
    <w:p/>
    <w:p/>
    <w:p/>
    <w:p/>
    <w:p/>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53"/>
    <w:p>
      <w:pPr>
        <w:spacing w:line="360" w:lineRule="auto"/>
        <w:rPr>
          <w:sz w:val="24"/>
        </w:rPr>
      </w:pPr>
    </w:p>
    <w:sectPr>
      <w:headerReference r:id="rId3" w:type="default"/>
      <w:footerReference r:id="rId4" w:type="default"/>
      <w:pgSz w:w="11906" w:h="16838"/>
      <w:pgMar w:top="1440" w:right="1644" w:bottom="1440" w:left="1644" w:header="56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Mincho">
    <w:altName w:val="Yu Gothic UI"/>
    <w:panose1 w:val="02020609040305080305"/>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29</w:t>
                          </w:r>
                          <w:r>
                            <w:fldChar w:fldCharType="end"/>
                          </w:r>
                          <w:r>
                            <w:t xml:space="preserve"> 页</w:t>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qNO9Y2AEAAK0DAAAOAAAAAAAAAAEAIAAA&#10;AB4BAABkcnMvZTJvRG9jLnhtbFBLBQYAAAAABgAGAFkBAABo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29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575532"/>
    <w:multiLevelType w:val="multilevel"/>
    <w:tmpl w:val="63575532"/>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MDk3MjVkYjQ0YmQ1MzU0MTFkZTQ5NzdjNjMwM2UifQ=="/>
  </w:docVars>
  <w:rsids>
    <w:rsidRoot w:val="00172A27"/>
    <w:rsid w:val="00086456"/>
    <w:rsid w:val="000933AF"/>
    <w:rsid w:val="00093DF6"/>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F4E7A"/>
    <w:rsid w:val="00304156"/>
    <w:rsid w:val="003102D1"/>
    <w:rsid w:val="00342DB7"/>
    <w:rsid w:val="00375FA1"/>
    <w:rsid w:val="00381204"/>
    <w:rsid w:val="00382232"/>
    <w:rsid w:val="003966E3"/>
    <w:rsid w:val="003B4F50"/>
    <w:rsid w:val="003C0D1C"/>
    <w:rsid w:val="003C2F91"/>
    <w:rsid w:val="003D10E4"/>
    <w:rsid w:val="003E1C11"/>
    <w:rsid w:val="003F0C12"/>
    <w:rsid w:val="003F4F19"/>
    <w:rsid w:val="004105DC"/>
    <w:rsid w:val="00434F17"/>
    <w:rsid w:val="0045030B"/>
    <w:rsid w:val="004532F1"/>
    <w:rsid w:val="00496F6B"/>
    <w:rsid w:val="004A4F8C"/>
    <w:rsid w:val="004B451B"/>
    <w:rsid w:val="004E0A5A"/>
    <w:rsid w:val="004E0ADD"/>
    <w:rsid w:val="004F28E8"/>
    <w:rsid w:val="00565853"/>
    <w:rsid w:val="00567510"/>
    <w:rsid w:val="00587A55"/>
    <w:rsid w:val="005B572D"/>
    <w:rsid w:val="005C3AA3"/>
    <w:rsid w:val="005C51D5"/>
    <w:rsid w:val="005D1261"/>
    <w:rsid w:val="005D6AC6"/>
    <w:rsid w:val="005E4271"/>
    <w:rsid w:val="005F39CE"/>
    <w:rsid w:val="00602BA2"/>
    <w:rsid w:val="00645CB7"/>
    <w:rsid w:val="006519B6"/>
    <w:rsid w:val="00653E82"/>
    <w:rsid w:val="00670EAF"/>
    <w:rsid w:val="006B7ED9"/>
    <w:rsid w:val="006C277B"/>
    <w:rsid w:val="006E3062"/>
    <w:rsid w:val="006F0A11"/>
    <w:rsid w:val="007125F8"/>
    <w:rsid w:val="0072193F"/>
    <w:rsid w:val="00726B6B"/>
    <w:rsid w:val="00737FE1"/>
    <w:rsid w:val="00750A03"/>
    <w:rsid w:val="00756068"/>
    <w:rsid w:val="007730E2"/>
    <w:rsid w:val="00791388"/>
    <w:rsid w:val="007A1CAF"/>
    <w:rsid w:val="007A620B"/>
    <w:rsid w:val="007C2623"/>
    <w:rsid w:val="007F048D"/>
    <w:rsid w:val="0084628C"/>
    <w:rsid w:val="00850A0D"/>
    <w:rsid w:val="00851E53"/>
    <w:rsid w:val="008545F7"/>
    <w:rsid w:val="00886803"/>
    <w:rsid w:val="00886C25"/>
    <w:rsid w:val="00896449"/>
    <w:rsid w:val="008A122C"/>
    <w:rsid w:val="008A410C"/>
    <w:rsid w:val="008D77EA"/>
    <w:rsid w:val="008F0FB0"/>
    <w:rsid w:val="009272BD"/>
    <w:rsid w:val="00933788"/>
    <w:rsid w:val="00933CCF"/>
    <w:rsid w:val="009344EB"/>
    <w:rsid w:val="00937FF1"/>
    <w:rsid w:val="00940BAA"/>
    <w:rsid w:val="00941B5E"/>
    <w:rsid w:val="00973D0C"/>
    <w:rsid w:val="009913F3"/>
    <w:rsid w:val="009A441A"/>
    <w:rsid w:val="009B2D50"/>
    <w:rsid w:val="009B4979"/>
    <w:rsid w:val="009C176F"/>
    <w:rsid w:val="009C61B1"/>
    <w:rsid w:val="00A17E38"/>
    <w:rsid w:val="00A257FB"/>
    <w:rsid w:val="00A27F09"/>
    <w:rsid w:val="00A45A97"/>
    <w:rsid w:val="00A6150E"/>
    <w:rsid w:val="00A666E6"/>
    <w:rsid w:val="00A96033"/>
    <w:rsid w:val="00AB567B"/>
    <w:rsid w:val="00B03B7C"/>
    <w:rsid w:val="00B16A51"/>
    <w:rsid w:val="00B303D7"/>
    <w:rsid w:val="00B56FE6"/>
    <w:rsid w:val="00B9361F"/>
    <w:rsid w:val="00BA0BCE"/>
    <w:rsid w:val="00BA2B91"/>
    <w:rsid w:val="00BB5848"/>
    <w:rsid w:val="00BC076B"/>
    <w:rsid w:val="00BE6536"/>
    <w:rsid w:val="00BF6430"/>
    <w:rsid w:val="00C006D6"/>
    <w:rsid w:val="00C3241B"/>
    <w:rsid w:val="00C334B3"/>
    <w:rsid w:val="00C567EC"/>
    <w:rsid w:val="00C73A32"/>
    <w:rsid w:val="00CA223E"/>
    <w:rsid w:val="00CB2912"/>
    <w:rsid w:val="00CE43D2"/>
    <w:rsid w:val="00D1648C"/>
    <w:rsid w:val="00D36DF9"/>
    <w:rsid w:val="00D51E1F"/>
    <w:rsid w:val="00D55446"/>
    <w:rsid w:val="00D62A62"/>
    <w:rsid w:val="00DC2F77"/>
    <w:rsid w:val="00DD30C8"/>
    <w:rsid w:val="00DD42E7"/>
    <w:rsid w:val="00DF3613"/>
    <w:rsid w:val="00E04B6A"/>
    <w:rsid w:val="00E07248"/>
    <w:rsid w:val="00E267ED"/>
    <w:rsid w:val="00E5046D"/>
    <w:rsid w:val="00E511DE"/>
    <w:rsid w:val="00E61989"/>
    <w:rsid w:val="00EA047A"/>
    <w:rsid w:val="00EA5C68"/>
    <w:rsid w:val="00EC1A9A"/>
    <w:rsid w:val="00EE7864"/>
    <w:rsid w:val="00EF2BF0"/>
    <w:rsid w:val="00F00C52"/>
    <w:rsid w:val="00F10EF6"/>
    <w:rsid w:val="00F25491"/>
    <w:rsid w:val="00F405E6"/>
    <w:rsid w:val="00F73693"/>
    <w:rsid w:val="00F7512C"/>
    <w:rsid w:val="00F82191"/>
    <w:rsid w:val="00F82D91"/>
    <w:rsid w:val="00F8558E"/>
    <w:rsid w:val="00F90F8C"/>
    <w:rsid w:val="00FB54EC"/>
    <w:rsid w:val="00FD7580"/>
    <w:rsid w:val="00FE1088"/>
    <w:rsid w:val="00FE535C"/>
    <w:rsid w:val="02366BFC"/>
    <w:rsid w:val="026571C6"/>
    <w:rsid w:val="02C34648"/>
    <w:rsid w:val="032A714A"/>
    <w:rsid w:val="039B641B"/>
    <w:rsid w:val="03FF1998"/>
    <w:rsid w:val="051605BC"/>
    <w:rsid w:val="06A420ED"/>
    <w:rsid w:val="078556D9"/>
    <w:rsid w:val="07D41536"/>
    <w:rsid w:val="08CD3F71"/>
    <w:rsid w:val="09EE765E"/>
    <w:rsid w:val="0A3175B8"/>
    <w:rsid w:val="0A833281"/>
    <w:rsid w:val="0A9C123C"/>
    <w:rsid w:val="0D2D7BF7"/>
    <w:rsid w:val="0DBB5368"/>
    <w:rsid w:val="0E673DDF"/>
    <w:rsid w:val="0F315D59"/>
    <w:rsid w:val="0FB86E64"/>
    <w:rsid w:val="101C0C30"/>
    <w:rsid w:val="10A34788"/>
    <w:rsid w:val="11741F03"/>
    <w:rsid w:val="11A56426"/>
    <w:rsid w:val="1457547C"/>
    <w:rsid w:val="14C63838"/>
    <w:rsid w:val="152F7E36"/>
    <w:rsid w:val="156D0294"/>
    <w:rsid w:val="174E5C33"/>
    <w:rsid w:val="17D14778"/>
    <w:rsid w:val="18465780"/>
    <w:rsid w:val="1AB23575"/>
    <w:rsid w:val="1C0466A8"/>
    <w:rsid w:val="1C364BBA"/>
    <w:rsid w:val="1CFC4FCF"/>
    <w:rsid w:val="1D7D3B03"/>
    <w:rsid w:val="207F2647"/>
    <w:rsid w:val="21647640"/>
    <w:rsid w:val="21D40090"/>
    <w:rsid w:val="22C97E48"/>
    <w:rsid w:val="23B762FF"/>
    <w:rsid w:val="24066C35"/>
    <w:rsid w:val="27202030"/>
    <w:rsid w:val="27397933"/>
    <w:rsid w:val="29552D45"/>
    <w:rsid w:val="2C627C4F"/>
    <w:rsid w:val="2C773E2D"/>
    <w:rsid w:val="2D2B3EDE"/>
    <w:rsid w:val="2E832474"/>
    <w:rsid w:val="32596A25"/>
    <w:rsid w:val="337D71AF"/>
    <w:rsid w:val="33E2362F"/>
    <w:rsid w:val="342F3A6A"/>
    <w:rsid w:val="35F966E1"/>
    <w:rsid w:val="364E7665"/>
    <w:rsid w:val="36B97F40"/>
    <w:rsid w:val="36D601E8"/>
    <w:rsid w:val="371C5AC4"/>
    <w:rsid w:val="389D2E5E"/>
    <w:rsid w:val="38E8560F"/>
    <w:rsid w:val="3B00217F"/>
    <w:rsid w:val="3B5211DC"/>
    <w:rsid w:val="3B9D6C8F"/>
    <w:rsid w:val="3C340801"/>
    <w:rsid w:val="3D9267FC"/>
    <w:rsid w:val="3ECF32FA"/>
    <w:rsid w:val="4198777F"/>
    <w:rsid w:val="431573C5"/>
    <w:rsid w:val="43654233"/>
    <w:rsid w:val="4413082D"/>
    <w:rsid w:val="44B07A08"/>
    <w:rsid w:val="45BB5620"/>
    <w:rsid w:val="46363230"/>
    <w:rsid w:val="485A31EE"/>
    <w:rsid w:val="490258E8"/>
    <w:rsid w:val="49342513"/>
    <w:rsid w:val="4C516396"/>
    <w:rsid w:val="4C8C193E"/>
    <w:rsid w:val="4CF42706"/>
    <w:rsid w:val="4DBE70C8"/>
    <w:rsid w:val="4F566AB1"/>
    <w:rsid w:val="52464F50"/>
    <w:rsid w:val="529275A5"/>
    <w:rsid w:val="57C46052"/>
    <w:rsid w:val="5A4C3E5A"/>
    <w:rsid w:val="5B4E3863"/>
    <w:rsid w:val="5CEA1B7D"/>
    <w:rsid w:val="5D8C3A2F"/>
    <w:rsid w:val="5F230066"/>
    <w:rsid w:val="616B0426"/>
    <w:rsid w:val="61B91426"/>
    <w:rsid w:val="62B03E2D"/>
    <w:rsid w:val="65DB3287"/>
    <w:rsid w:val="67784E22"/>
    <w:rsid w:val="6BB57C9D"/>
    <w:rsid w:val="6BC1223C"/>
    <w:rsid w:val="6BE33FA7"/>
    <w:rsid w:val="6C6178D9"/>
    <w:rsid w:val="70B34FC2"/>
    <w:rsid w:val="73A9700F"/>
    <w:rsid w:val="73CC7AC9"/>
    <w:rsid w:val="747554DC"/>
    <w:rsid w:val="7548217D"/>
    <w:rsid w:val="76552976"/>
    <w:rsid w:val="765E5066"/>
    <w:rsid w:val="774C360C"/>
    <w:rsid w:val="77541052"/>
    <w:rsid w:val="77C16289"/>
    <w:rsid w:val="78930A25"/>
    <w:rsid w:val="7A835A7B"/>
    <w:rsid w:val="7A9018C8"/>
    <w:rsid w:val="7B430AF3"/>
    <w:rsid w:val="7C6A78A5"/>
    <w:rsid w:val="7D783DA2"/>
    <w:rsid w:val="7E0D28D9"/>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19"/>
    <w:unhideWhenUsed/>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0"/>
    <w:pPr>
      <w:spacing w:before="100" w:beforeAutospacing="1" w:after="200" w:line="273" w:lineRule="auto"/>
      <w:ind w:left="720"/>
      <w:contextualSpacing/>
    </w:pPr>
    <w:rPr>
      <w:rFonts w:ascii="Calibri" w:hAnsi="Calibri"/>
      <w:sz w:val="22"/>
      <w:szCs w:val="22"/>
    </w:rPr>
  </w:style>
  <w:style w:type="paragraph" w:styleId="6">
    <w:name w:val="Normal Indent"/>
    <w:basedOn w:val="1"/>
    <w:qFormat/>
    <w:uiPriority w:val="0"/>
    <w:pPr>
      <w:ind w:firstLine="420"/>
    </w:pPr>
    <w:rPr>
      <w:szCs w:val="20"/>
    </w:rPr>
  </w:style>
  <w:style w:type="paragraph" w:styleId="7">
    <w:name w:val="annotation text"/>
    <w:basedOn w:val="1"/>
    <w:link w:val="25"/>
    <w:unhideWhenUsed/>
    <w:qFormat/>
    <w:uiPriority w:val="99"/>
    <w:pPr>
      <w:jc w:val="left"/>
    </w:pPr>
    <w:rPr>
      <w:szCs w:val="21"/>
    </w:rPr>
  </w:style>
  <w:style w:type="paragraph" w:styleId="8">
    <w:name w:val="Body Text"/>
    <w:basedOn w:val="1"/>
    <w:link w:val="20"/>
    <w:qFormat/>
    <w:uiPriority w:val="0"/>
    <w:pPr>
      <w:snapToGrid w:val="0"/>
      <w:spacing w:before="120" w:after="120" w:line="360" w:lineRule="auto"/>
    </w:pPr>
    <w:rPr>
      <w:rFonts w:ascii="宋体" w:hAnsi="宋体"/>
      <w:sz w:val="24"/>
      <w:szCs w:val="20"/>
    </w:rPr>
  </w:style>
  <w:style w:type="paragraph" w:styleId="9">
    <w:name w:val="Plain Text"/>
    <w:basedOn w:val="1"/>
    <w:link w:val="21"/>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spacing w:beforeAutospacing="1" w:afterAutospacing="1"/>
      <w:jc w:val="left"/>
    </w:pPr>
    <w:rPr>
      <w:rFonts w:ascii="Calibri" w:hAnsi="Calibri"/>
      <w:kern w:val="0"/>
      <w:sz w:val="24"/>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u w:val="single"/>
    </w:rPr>
  </w:style>
  <w:style w:type="paragraph" w:customStyle="1" w:styleId="17">
    <w:name w:val="样式2"/>
    <w:basedOn w:val="1"/>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18">
    <w:name w:val="Char1"/>
    <w:basedOn w:val="1"/>
    <w:qFormat/>
    <w:uiPriority w:val="0"/>
  </w:style>
  <w:style w:type="character" w:customStyle="1" w:styleId="19">
    <w:name w:val="标题 3 字符"/>
    <w:link w:val="5"/>
    <w:semiHidden/>
    <w:qFormat/>
    <w:uiPriority w:val="0"/>
    <w:rPr>
      <w:b/>
      <w:bCs/>
      <w:kern w:val="2"/>
      <w:sz w:val="32"/>
      <w:szCs w:val="32"/>
    </w:rPr>
  </w:style>
  <w:style w:type="character" w:customStyle="1" w:styleId="20">
    <w:name w:val="正文文本 字符"/>
    <w:link w:val="8"/>
    <w:qFormat/>
    <w:uiPriority w:val="0"/>
    <w:rPr>
      <w:rFonts w:ascii="宋体" w:hAnsi="宋体"/>
      <w:kern w:val="2"/>
      <w:sz w:val="24"/>
    </w:rPr>
  </w:style>
  <w:style w:type="character" w:customStyle="1" w:styleId="21">
    <w:name w:val="纯文本 字符"/>
    <w:link w:val="9"/>
    <w:qFormat/>
    <w:uiPriority w:val="0"/>
    <w:rPr>
      <w:rFonts w:ascii="宋体" w:hAnsi="Courier New"/>
      <w:kern w:val="2"/>
      <w:sz w:val="21"/>
    </w:rPr>
  </w:style>
  <w:style w:type="paragraph" w:customStyle="1" w:styleId="22">
    <w:name w:val="Default"/>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23">
    <w:name w:val="普通正文"/>
    <w:basedOn w:val="1"/>
    <w:qFormat/>
    <w:uiPriority w:val="0"/>
    <w:pPr>
      <w:adjustRightInd w:val="0"/>
      <w:spacing w:before="120" w:after="120" w:line="360" w:lineRule="auto"/>
      <w:ind w:firstLine="480"/>
      <w:jc w:val="left"/>
    </w:pPr>
    <w:rPr>
      <w:rFonts w:ascii="Arial" w:hAnsi="Arial"/>
      <w:kern w:val="0"/>
      <w:sz w:val="24"/>
    </w:rPr>
  </w:style>
  <w:style w:type="paragraph" w:customStyle="1" w:styleId="24">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5">
    <w:name w:val="批注文字 字符"/>
    <w:basedOn w:val="15"/>
    <w:link w:val="7"/>
    <w:qFormat/>
    <w:uiPriority w:val="99"/>
    <w:rPr>
      <w:kern w:val="2"/>
      <w:sz w:val="21"/>
      <w:szCs w:val="21"/>
    </w:rPr>
  </w:style>
  <w:style w:type="character" w:customStyle="1" w:styleId="26">
    <w:name w:val="15"/>
    <w:basedOn w:val="15"/>
    <w:qFormat/>
    <w:uiPriority w:val="0"/>
    <w:rPr>
      <w:rFonts w:hint="eastAsia" w:ascii="宋体" w:hAnsi="宋体" w:eastAsia="宋体"/>
      <w:color w:val="000000"/>
      <w:sz w:val="20"/>
      <w:szCs w:val="20"/>
    </w:rPr>
  </w:style>
  <w:style w:type="paragraph" w:customStyle="1" w:styleId="27">
    <w:name w:val="reader-word-layer"/>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17299</Words>
  <Characters>18741</Characters>
  <Lines>139</Lines>
  <Paragraphs>39</Paragraphs>
  <TotalTime>17</TotalTime>
  <ScaleCrop>false</ScaleCrop>
  <LinksUpToDate>false</LinksUpToDate>
  <CharactersWithSpaces>19623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2023-03-10T03:23:00Z</dcterms:created>
  <dc:creator>Administrator</dc:creator>
  <cp:lastModifiedBy>阿诺多罗</cp:lastModifiedBy>
  <cp:lastPrinted>2022-10-18T09:15:00Z</cp:lastPrinted>
  <dcterms:modified xsi:type="dcterms:W3CDTF">2023-03-29T09:59:03Z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CC32244E535D49628757C8E3553EF533</vt:lpwstr>
  </property>
</Properties>
</file>