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b/>
          <w:bCs/>
          <w:sz w:val="48"/>
          <w:szCs w:val="48"/>
        </w:rPr>
      </w:pPr>
    </w:p>
    <w:p>
      <w:pPr>
        <w:pStyle w:val="2"/>
        <w:rPr>
          <w:rFonts w:hint="eastAsia"/>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default"/>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健康医学院教学楼多媒体教室建设项目</w:t>
      </w:r>
    </w:p>
    <w:p>
      <w:pPr>
        <w:jc w:val="both"/>
        <w:rPr>
          <w:rFonts w:hint="eastAsia" w:ascii="宋体" w:hAnsi="宋体" w:cs="宋体"/>
          <w:b/>
          <w:bCs/>
          <w:sz w:val="32"/>
          <w:szCs w:val="32"/>
        </w:rPr>
      </w:pPr>
      <w:r>
        <w:rPr>
          <w:rFonts w:hint="eastAsia" w:ascii="宋体" w:hAnsi="宋体" w:cs="宋体"/>
          <w:b/>
          <w:bCs/>
          <w:sz w:val="32"/>
          <w:szCs w:val="32"/>
        </w:rPr>
        <w:t xml:space="preserve">  </w:t>
      </w:r>
    </w:p>
    <w:p>
      <w:pPr>
        <w:jc w:val="center"/>
        <w:rPr>
          <w:rFonts w:hint="eastAsia"/>
          <w:b/>
          <w:bCs/>
          <w:sz w:val="24"/>
          <w:szCs w:val="24"/>
          <w:lang w:eastAsia="zh-CN"/>
        </w:rPr>
      </w:pPr>
      <w:r>
        <w:rPr>
          <w:rFonts w:hint="eastAsia"/>
          <w:b/>
          <w:bCs/>
          <w:sz w:val="24"/>
          <w:szCs w:val="24"/>
          <w:lang w:eastAsia="zh-CN"/>
        </w:rPr>
        <w:t>（项目编号：</w:t>
      </w:r>
      <w:r>
        <w:rPr>
          <w:rFonts w:hint="eastAsia" w:eastAsia="宋体"/>
          <w:b/>
          <w:bCs/>
          <w:sz w:val="24"/>
          <w:szCs w:val="24"/>
          <w:lang w:val="en-US" w:eastAsia="zh-CN"/>
        </w:rPr>
        <w:t>ZCZB2023007</w:t>
      </w:r>
      <w:r>
        <w:rPr>
          <w:rFonts w:hint="eastAsia"/>
          <w:b/>
          <w:bCs/>
          <w:sz w:val="24"/>
          <w:szCs w:val="24"/>
          <w:lang w:val="en-US" w:eastAsia="zh-CN"/>
        </w:rPr>
        <w:t>）</w:t>
      </w: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spacing w:line="760" w:lineRule="exact"/>
        <w:jc w:val="center"/>
        <w:rPr>
          <w:rFonts w:hint="eastAsia" w:ascii="宋体" w:hAnsi="宋体" w:eastAsia="宋体" w:cs="宋体"/>
          <w:sz w:val="44"/>
          <w:szCs w:val="44"/>
          <w:lang w:eastAsia="zh-CN"/>
        </w:rPr>
      </w:pPr>
      <w:r>
        <w:rPr>
          <w:rFonts w:hint="eastAsia" w:ascii="宋体" w:hAnsi="宋体"/>
          <w:b/>
          <w:bCs/>
          <w:sz w:val="44"/>
          <w:szCs w:val="44"/>
        </w:rPr>
        <w:t xml:space="preserve"> 采购</w:t>
      </w:r>
      <w:r>
        <w:rPr>
          <w:rFonts w:hint="eastAsia" w:ascii="宋体" w:hAnsi="宋体"/>
          <w:b/>
          <w:bCs/>
          <w:sz w:val="44"/>
          <w:szCs w:val="44"/>
          <w:lang w:eastAsia="zh-CN"/>
        </w:rPr>
        <w:t>招标公告</w:t>
      </w:r>
    </w:p>
    <w:p>
      <w:pPr>
        <w:keepNext w:val="0"/>
        <w:keepLines w:val="0"/>
        <w:pageBreakBefore w:val="0"/>
        <w:kinsoku/>
        <w:wordWrap/>
        <w:overflowPunct/>
        <w:topLinePunct w:val="0"/>
        <w:autoSpaceDN/>
        <w:bidi w:val="0"/>
        <w:spacing w:line="400" w:lineRule="exact"/>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N/>
        <w:bidi w:val="0"/>
        <w:spacing w:line="400" w:lineRule="exact"/>
        <w:ind w:left="0" w:leftChars="0" w:firstLine="360" w:firstLineChars="150"/>
        <w:textAlignment w:val="auto"/>
        <w:rPr>
          <w:rFonts w:hint="eastAsia" w:ascii="仿宋" w:hAnsi="仿宋" w:eastAsia="仿宋" w:cs="仿宋"/>
          <w:sz w:val="24"/>
          <w:szCs w:val="24"/>
          <w:lang w:eastAsia="zh-CN"/>
        </w:rPr>
      </w:pPr>
      <w:r>
        <w:rPr>
          <w:rFonts w:hint="eastAsia" w:ascii="仿宋" w:hAnsi="仿宋" w:eastAsia="仿宋" w:cs="仿宋"/>
          <w:sz w:val="24"/>
          <w:szCs w:val="24"/>
        </w:rPr>
        <w:t>根据国家采购与招投标法律法规的有关规定，南通理工学院</w:t>
      </w:r>
      <w:r>
        <w:rPr>
          <w:rFonts w:hint="eastAsia" w:ascii="仿宋" w:hAnsi="仿宋" w:eastAsia="仿宋" w:cs="仿宋"/>
          <w:sz w:val="24"/>
          <w:szCs w:val="24"/>
          <w:lang w:eastAsia="zh-CN"/>
        </w:rPr>
        <w:t>对</w:t>
      </w:r>
      <w:r>
        <w:rPr>
          <w:rFonts w:hint="eastAsia" w:ascii="仿宋" w:hAnsi="仿宋" w:eastAsia="仿宋" w:cs="仿宋"/>
          <w:sz w:val="24"/>
          <w:szCs w:val="24"/>
          <w:lang w:val="en-US" w:eastAsia="zh-CN"/>
        </w:rPr>
        <w:t>健康医学院教学楼多媒体教室建设项目</w:t>
      </w:r>
      <w:r>
        <w:rPr>
          <w:rFonts w:hint="eastAsia" w:ascii="仿宋" w:hAnsi="仿宋" w:eastAsia="仿宋" w:cs="仿宋"/>
          <w:sz w:val="24"/>
          <w:szCs w:val="24"/>
        </w:rPr>
        <w:t>进行公开招标，欢迎具备相应资质和实力的投标单位参加投标。现将有关事项公告如下：</w:t>
      </w:r>
    </w:p>
    <w:p>
      <w:pPr>
        <w:keepNext w:val="0"/>
        <w:keepLines w:val="0"/>
        <w:pageBreakBefore w:val="0"/>
        <w:widowControl w:val="0"/>
        <w:kinsoku/>
        <w:wordWrap/>
        <w:overflowPunct/>
        <w:topLinePunct w:val="0"/>
        <w:autoSpaceDN/>
        <w:bidi w:val="0"/>
        <w:adjustRightInd/>
        <w:snapToGrid/>
        <w:spacing w:line="400" w:lineRule="exact"/>
        <w:ind w:right="0" w:rightChars="0" w:firstLine="482" w:firstLineChars="200"/>
        <w:jc w:val="both"/>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bCs/>
          <w:sz w:val="24"/>
          <w:szCs w:val="24"/>
        </w:rPr>
        <w:t>一、招标内容：</w:t>
      </w:r>
    </w:p>
    <w:p>
      <w:pPr>
        <w:keepNext w:val="0"/>
        <w:keepLines w:val="0"/>
        <w:pageBreakBefore w:val="0"/>
        <w:widowControl w:val="0"/>
        <w:kinsoku/>
        <w:wordWrap/>
        <w:overflowPunct/>
        <w:topLinePunct w:val="0"/>
        <w:autoSpaceDN/>
        <w:bidi w:val="0"/>
        <w:adjustRightInd/>
        <w:snapToGrid/>
        <w:spacing w:line="40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b w:val="0"/>
          <w:bCs/>
          <w:sz w:val="24"/>
          <w:szCs w:val="24"/>
          <w:lang w:val="en-US" w:eastAsia="zh-CN"/>
        </w:rPr>
        <w:t>1、项目名称：南通理工学院健康医学院教学楼多媒体教室建设项目</w:t>
      </w:r>
      <w:r>
        <w:rPr>
          <w:rFonts w:hint="eastAsia" w:ascii="仿宋" w:hAnsi="仿宋" w:eastAsia="仿宋" w:cs="仿宋"/>
          <w:sz w:val="24"/>
          <w:szCs w:val="24"/>
        </w:rPr>
        <w:t>。</w:t>
      </w:r>
    </w:p>
    <w:p>
      <w:pPr>
        <w:pStyle w:val="8"/>
        <w:keepNext w:val="0"/>
        <w:keepLines w:val="0"/>
        <w:pageBreakBefore w:val="0"/>
        <w:kinsoku/>
        <w:wordWrap/>
        <w:overflowPunct/>
        <w:topLinePunct w:val="0"/>
        <w:autoSpaceDN/>
        <w:bidi w:val="0"/>
        <w:spacing w:before="0" w:beforeAutospacing="0" w:after="0" w:afterAutospacing="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、招标</w:t>
      </w:r>
      <w:r>
        <w:rPr>
          <w:rFonts w:hint="eastAsia" w:ascii="仿宋" w:hAnsi="仿宋" w:eastAsia="仿宋" w:cs="仿宋"/>
          <w:sz w:val="24"/>
          <w:szCs w:val="24"/>
          <w:lang w:eastAsia="zh-CN"/>
        </w:rPr>
        <w:t>内容</w:t>
      </w:r>
      <w:r>
        <w:rPr>
          <w:rFonts w:hint="eastAsia" w:ascii="仿宋" w:hAnsi="仿宋" w:eastAsia="仿宋" w:cs="仿宋"/>
          <w:sz w:val="24"/>
          <w:szCs w:val="24"/>
        </w:rPr>
        <w:t>：具体</w:t>
      </w:r>
      <w:r>
        <w:rPr>
          <w:rFonts w:hint="eastAsia" w:ascii="仿宋" w:hAnsi="仿宋" w:eastAsia="仿宋" w:cs="仿宋"/>
          <w:sz w:val="24"/>
          <w:szCs w:val="24"/>
          <w:lang w:eastAsia="zh-CN"/>
        </w:rPr>
        <w:t>采购</w:t>
      </w:r>
      <w:r>
        <w:rPr>
          <w:rFonts w:hint="eastAsia" w:ascii="仿宋" w:hAnsi="仿宋" w:eastAsia="仿宋" w:cs="仿宋"/>
          <w:sz w:val="24"/>
          <w:szCs w:val="24"/>
        </w:rPr>
        <w:t>内容及技术参数要求详见招标文件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项目概况</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南通理工学院健康医学院教学楼共建设多媒体阶梯教室（含大型教室）8间，多媒体中等教室12间</w:t>
      </w:r>
      <w:r>
        <w:rPr>
          <w:rFonts w:hint="eastAsia" w:ascii="仿宋" w:hAnsi="仿宋" w:eastAsia="仿宋" w:cs="仿宋"/>
          <w:sz w:val="24"/>
          <w:szCs w:val="24"/>
          <w:lang w:val="en-US" w:eastAsia="zh-CN"/>
        </w:rPr>
        <w:t>。此次建设的教室前后间距最大超过14米，需配备120寸大尺寸的高分辨率显示设备，保证后排同学能够清晰可见；健康医学相关课程教学过程中有大量的板书需求，需配具有较大可连续书写面积的黑板；扩声系统需保证教师课堂教学声音可清晰覆盖教室各个区域，所有学生能够清晰听见授课内容的同时，教师能够轻松发声、清晰返听；多媒体中控设备需要实现上课前扫描校园码开机，下课后一键关键，操作简便，方便管理。</w:t>
      </w:r>
      <w:r>
        <w:rPr>
          <w:rFonts w:hint="eastAsia" w:ascii="仿宋" w:hAnsi="仿宋" w:eastAsia="仿宋" w:cs="仿宋"/>
          <w:sz w:val="24"/>
          <w:szCs w:val="24"/>
        </w:rPr>
        <w:t>具体</w:t>
      </w:r>
      <w:r>
        <w:rPr>
          <w:rFonts w:hint="eastAsia" w:ascii="仿宋" w:hAnsi="仿宋" w:eastAsia="仿宋" w:cs="仿宋"/>
          <w:sz w:val="24"/>
          <w:szCs w:val="24"/>
          <w:lang w:eastAsia="zh-CN"/>
        </w:rPr>
        <w:t>采购</w:t>
      </w:r>
      <w:r>
        <w:rPr>
          <w:rFonts w:hint="eastAsia" w:ascii="仿宋" w:hAnsi="仿宋" w:eastAsia="仿宋" w:cs="仿宋"/>
          <w:sz w:val="24"/>
          <w:szCs w:val="24"/>
        </w:rPr>
        <w:t>内容及技术参数要求详见招标文件</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547" w:firstLineChars="228"/>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4、工期要求：</w:t>
      </w:r>
      <w:r>
        <w:rPr>
          <w:rFonts w:hint="eastAsia" w:ascii="仿宋" w:hAnsi="仿宋" w:eastAsia="仿宋" w:cs="仿宋"/>
          <w:sz w:val="24"/>
          <w:szCs w:val="24"/>
          <w:lang w:val="en-US" w:eastAsia="zh-CN"/>
        </w:rPr>
        <w:t>合</w:t>
      </w:r>
      <w:r>
        <w:rPr>
          <w:rFonts w:hint="eastAsia" w:ascii="仿宋" w:hAnsi="仿宋" w:eastAsia="仿宋" w:cs="仿宋"/>
          <w:color w:val="auto"/>
          <w:sz w:val="24"/>
          <w:szCs w:val="24"/>
          <w:lang w:val="en-US" w:eastAsia="zh-CN"/>
        </w:rPr>
        <w:t>同签订后</w:t>
      </w:r>
      <w:r>
        <w:rPr>
          <w:rFonts w:hint="eastAsia" w:ascii="仿宋" w:hAnsi="仿宋" w:eastAsia="仿宋" w:cs="仿宋"/>
          <w:color w:val="FF0000"/>
          <w:sz w:val="24"/>
          <w:szCs w:val="24"/>
          <w:lang w:val="en-US" w:eastAsia="zh-CN"/>
        </w:rPr>
        <w:t>30</w:t>
      </w:r>
      <w:r>
        <w:rPr>
          <w:rFonts w:hint="eastAsia" w:ascii="仿宋" w:hAnsi="仿宋" w:eastAsia="仿宋" w:cs="仿宋"/>
          <w:color w:val="auto"/>
          <w:sz w:val="24"/>
          <w:szCs w:val="24"/>
          <w:lang w:val="en-US" w:eastAsia="zh-CN"/>
        </w:rPr>
        <w:t>个日历天。</w:t>
      </w:r>
    </w:p>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549" w:firstLineChars="228"/>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二、投标人资格要求</w:t>
      </w:r>
    </w:p>
    <w:p>
      <w:pPr>
        <w:keepNext w:val="0"/>
        <w:keepLines w:val="0"/>
        <w:pageBreakBefore w:val="0"/>
        <w:widowControl w:val="0"/>
        <w:kinsoku/>
        <w:wordWrap/>
        <w:overflowPunct/>
        <w:topLinePunct w:val="0"/>
        <w:autoSpaceDN/>
        <w:bidi w:val="0"/>
        <w:adjustRightInd/>
        <w:snapToGrid/>
        <w:spacing w:line="360" w:lineRule="exact"/>
        <w:ind w:left="-1"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参加本次</w:t>
      </w:r>
      <w:r>
        <w:rPr>
          <w:rFonts w:hint="eastAsia" w:ascii="仿宋" w:hAnsi="仿宋" w:eastAsia="仿宋" w:cs="仿宋"/>
          <w:sz w:val="24"/>
          <w:szCs w:val="24"/>
          <w:lang w:eastAsia="zh-CN"/>
        </w:rPr>
        <w:t>招标</w:t>
      </w:r>
      <w:r>
        <w:rPr>
          <w:rFonts w:hint="eastAsia" w:ascii="仿宋" w:hAnsi="仿宋" w:eastAsia="仿宋" w:cs="仿宋"/>
          <w:sz w:val="24"/>
          <w:szCs w:val="24"/>
        </w:rPr>
        <w:t>活动的供应商除应当符合《中华人民共和国政府采购法》第二十二条的规定外，</w:t>
      </w:r>
      <w:r>
        <w:rPr>
          <w:rFonts w:hint="eastAsia" w:ascii="仿宋" w:hAnsi="仿宋" w:eastAsia="仿宋" w:cs="仿宋"/>
          <w:color w:val="auto"/>
          <w:sz w:val="24"/>
          <w:szCs w:val="24"/>
        </w:rPr>
        <w:t>还必须具备以下条件：</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1、经国家工商行政管理机关注册的企业法人；</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具有本次采购货物的供货、安装、售后服务等的相应资质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3、采购货物的专业制造厂（商）或制造厂（商）授权的区域销售代理商；</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4、具有良好的商业信誉，近三年运营状况良好且未处于停业或破产状态，资产未被重组、接管和冻结，没有骗取中标、严重违约、恶意举报（含举报不实）行为，不存在尚未了结的重大诉讼案件，不存在招标投标活动中受到违规处罚且处于该地区或该行业限制投标期间的记录等情形</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N/>
        <w:bidi w:val="0"/>
        <w:adjustRightInd/>
        <w:snapToGrid/>
        <w:spacing w:line="360" w:lineRule="exact"/>
        <w:ind w:left="1176" w:right="0" w:rightChars="0" w:hanging="1181" w:hangingChars="49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投标人资格审查方式：</w:t>
      </w:r>
      <w:r>
        <w:rPr>
          <w:rFonts w:hint="eastAsia" w:ascii="仿宋" w:hAnsi="仿宋" w:eastAsia="仿宋" w:cs="仿宋"/>
          <w:b/>
          <w:bCs/>
          <w:color w:val="FF0000"/>
          <w:sz w:val="24"/>
          <w:szCs w:val="24"/>
        </w:rPr>
        <w:t>资格</w:t>
      </w:r>
      <w:r>
        <w:rPr>
          <w:rFonts w:hint="eastAsia" w:ascii="仿宋" w:hAnsi="仿宋" w:eastAsia="仿宋" w:cs="仿宋"/>
          <w:b/>
          <w:bCs/>
          <w:color w:val="FF0000"/>
          <w:sz w:val="24"/>
          <w:szCs w:val="24"/>
          <w:lang w:val="en-US" w:eastAsia="zh-CN"/>
        </w:rPr>
        <w:t>前审，符合投标资格的方可参与评标</w:t>
      </w:r>
      <w:r>
        <w:rPr>
          <w:rFonts w:hint="eastAsia" w:ascii="仿宋" w:hAnsi="仿宋" w:eastAsia="仿宋" w:cs="仿宋"/>
          <w:b/>
          <w:bCs/>
          <w:color w:val="FF0000"/>
          <w:sz w:val="24"/>
          <w:szCs w:val="24"/>
        </w:rPr>
        <w:t>。</w:t>
      </w:r>
    </w:p>
    <w:p>
      <w:pPr>
        <w:autoSpaceDE w:val="0"/>
        <w:spacing w:line="360" w:lineRule="exact"/>
        <w:jc w:val="left"/>
        <w:rPr>
          <w:rFonts w:hint="eastAsia" w:ascii="仿宋" w:hAnsi="仿宋" w:eastAsia="仿宋" w:cs="仿宋"/>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、招标文件获取：</w:t>
      </w:r>
      <w:r>
        <w:rPr>
          <w:rFonts w:hint="eastAsia" w:ascii="仿宋" w:hAnsi="仿宋" w:eastAsia="仿宋" w:cs="仿宋"/>
          <w:sz w:val="24"/>
          <w:szCs w:val="24"/>
        </w:rPr>
        <w:t>投标人自行登录</w:t>
      </w:r>
      <w:r>
        <w:rPr>
          <w:rFonts w:hint="eastAsia" w:ascii="仿宋" w:hAnsi="仿宋" w:eastAsia="仿宋" w:cs="仿宋"/>
          <w:sz w:val="24"/>
          <w:szCs w:val="24"/>
          <w:lang w:val="en-US" w:eastAsia="zh-CN"/>
        </w:rPr>
        <w:t>南通理工学院</w:t>
      </w:r>
      <w:r>
        <w:rPr>
          <w:rFonts w:hint="eastAsia" w:ascii="仿宋" w:hAnsi="仿宋" w:eastAsia="仿宋" w:cs="仿宋"/>
          <w:sz w:val="24"/>
          <w:szCs w:val="24"/>
        </w:rPr>
        <w:t>招投标</w:t>
      </w:r>
      <w:r>
        <w:rPr>
          <w:rFonts w:hint="eastAsia" w:ascii="仿宋" w:hAnsi="仿宋" w:eastAsia="仿宋" w:cs="仿宋"/>
          <w:sz w:val="24"/>
          <w:szCs w:val="24"/>
          <w:lang w:val="en-US" w:eastAsia="zh-CN"/>
        </w:rPr>
        <w:t>主</w:t>
      </w:r>
      <w:r>
        <w:rPr>
          <w:rFonts w:hint="eastAsia" w:ascii="仿宋" w:hAnsi="仿宋" w:eastAsia="仿宋" w:cs="仿宋"/>
          <w:sz w:val="24"/>
          <w:szCs w:val="24"/>
          <w:u w:val="single"/>
        </w:rPr>
        <w:t>https://hqzc.ntit.edu.cn</w:t>
      </w:r>
      <w:r>
        <w:rPr>
          <w:rFonts w:hint="eastAsia" w:ascii="仿宋" w:hAnsi="仿宋" w:eastAsia="仿宋" w:cs="仿宋"/>
          <w:sz w:val="24"/>
          <w:szCs w:val="24"/>
        </w:rPr>
        <w:t>下载。</w:t>
      </w:r>
    </w:p>
    <w:p>
      <w:pPr>
        <w:pStyle w:val="15"/>
        <w:widowControl/>
        <w:spacing w:beforeAutospacing="0" w:afterAutospacing="0" w:line="360" w:lineRule="exact"/>
        <w:rPr>
          <w:rFonts w:hint="eastAsia" w:ascii="仿宋" w:hAnsi="仿宋" w:eastAsia="仿宋" w:cs="仿宋"/>
          <w:color w:val="333333"/>
          <w:sz w:val="24"/>
          <w:szCs w:val="24"/>
        </w:rPr>
      </w:pPr>
      <w:r>
        <w:rPr>
          <w:rFonts w:hint="eastAsia" w:ascii="仿宋" w:hAnsi="仿宋" w:eastAsia="仿宋" w:cs="仿宋"/>
          <w:b/>
          <w:bCs/>
          <w:kern w:val="2"/>
          <w:sz w:val="24"/>
          <w:szCs w:val="24"/>
          <w:lang w:val="en-US" w:eastAsia="zh-CN"/>
        </w:rPr>
        <w:t>五</w:t>
      </w:r>
      <w:r>
        <w:rPr>
          <w:rFonts w:hint="eastAsia" w:ascii="仿宋" w:hAnsi="仿宋" w:eastAsia="仿宋" w:cs="仿宋"/>
          <w:b/>
          <w:bCs/>
          <w:kern w:val="2"/>
          <w:sz w:val="24"/>
          <w:szCs w:val="24"/>
        </w:rPr>
        <w:t>、招标文件售价：</w:t>
      </w:r>
      <w:r>
        <w:rPr>
          <w:rFonts w:hint="eastAsia" w:ascii="仿宋" w:hAnsi="仿宋" w:eastAsia="仿宋" w:cs="仿宋"/>
          <w:b w:val="0"/>
          <w:i w:val="0"/>
          <w:caps w:val="0"/>
          <w:color w:val="000000"/>
          <w:spacing w:val="0"/>
          <w:sz w:val="24"/>
          <w:szCs w:val="24"/>
        </w:rPr>
        <w:t>人民币</w:t>
      </w:r>
      <w:r>
        <w:rPr>
          <w:rFonts w:hint="eastAsia" w:ascii="仿宋" w:hAnsi="仿宋" w:eastAsia="仿宋" w:cs="仿宋"/>
          <w:b w:val="0"/>
          <w:i w:val="0"/>
          <w:caps w:val="0"/>
          <w:color w:val="0000FF"/>
          <w:spacing w:val="0"/>
          <w:sz w:val="24"/>
          <w:szCs w:val="24"/>
          <w:lang w:val="en-US" w:eastAsia="zh-CN"/>
        </w:rPr>
        <w:t>3</w:t>
      </w:r>
      <w:r>
        <w:rPr>
          <w:rFonts w:hint="eastAsia" w:ascii="仿宋" w:hAnsi="仿宋" w:eastAsia="仿宋" w:cs="仿宋"/>
          <w:b w:val="0"/>
          <w:i w:val="0"/>
          <w:caps w:val="0"/>
          <w:color w:val="0000FF"/>
          <w:spacing w:val="0"/>
          <w:sz w:val="24"/>
          <w:szCs w:val="24"/>
        </w:rPr>
        <w:t>00</w:t>
      </w:r>
      <w:r>
        <w:rPr>
          <w:rFonts w:hint="eastAsia" w:ascii="仿宋" w:hAnsi="仿宋" w:eastAsia="仿宋" w:cs="仿宋"/>
          <w:b w:val="0"/>
          <w:i w:val="0"/>
          <w:caps w:val="0"/>
          <w:color w:val="000000"/>
          <w:spacing w:val="0"/>
          <w:sz w:val="24"/>
          <w:szCs w:val="24"/>
        </w:rPr>
        <w:t>元</w:t>
      </w:r>
      <w:r>
        <w:rPr>
          <w:rFonts w:hint="eastAsia" w:ascii="仿宋" w:hAnsi="仿宋" w:eastAsia="仿宋" w:cs="仿宋"/>
          <w:b/>
          <w:i w:val="0"/>
          <w:caps w:val="0"/>
          <w:color w:val="000000"/>
          <w:spacing w:val="0"/>
          <w:sz w:val="24"/>
          <w:szCs w:val="24"/>
        </w:rPr>
        <w:t>（</w:t>
      </w:r>
      <w:r>
        <w:rPr>
          <w:rFonts w:hint="eastAsia" w:ascii="仿宋" w:hAnsi="仿宋" w:eastAsia="仿宋" w:cs="仿宋"/>
          <w:b/>
          <w:i w:val="0"/>
          <w:caps w:val="0"/>
          <w:color w:val="000000"/>
          <w:spacing w:val="0"/>
          <w:sz w:val="24"/>
          <w:szCs w:val="24"/>
          <w:lang w:val="en-US" w:eastAsia="zh-CN"/>
        </w:rPr>
        <w:t>支付宝，支付宝账号：15262795019。报名前缴纳</w:t>
      </w:r>
      <w:r>
        <w:rPr>
          <w:rFonts w:hint="eastAsia" w:ascii="仿宋" w:hAnsi="仿宋" w:eastAsia="仿宋" w:cs="仿宋"/>
          <w:b/>
          <w:i w:val="0"/>
          <w:caps w:val="0"/>
          <w:color w:val="000000"/>
          <w:spacing w:val="0"/>
          <w:sz w:val="24"/>
          <w:szCs w:val="24"/>
          <w:lang w:eastAsia="zh-CN"/>
        </w:rPr>
        <w:t>，</w:t>
      </w:r>
      <w:r>
        <w:rPr>
          <w:rFonts w:hint="eastAsia" w:ascii="仿宋" w:hAnsi="仿宋" w:eastAsia="仿宋" w:cs="仿宋"/>
          <w:b/>
          <w:i w:val="0"/>
          <w:caps w:val="0"/>
          <w:color w:val="000000"/>
          <w:spacing w:val="0"/>
          <w:sz w:val="24"/>
          <w:szCs w:val="24"/>
          <w:lang w:val="en-US" w:eastAsia="zh-CN"/>
        </w:rPr>
        <w:t>售</w:t>
      </w:r>
      <w:r>
        <w:rPr>
          <w:rFonts w:hint="eastAsia" w:ascii="仿宋" w:hAnsi="仿宋" w:eastAsia="仿宋" w:cs="仿宋"/>
          <w:b/>
          <w:i w:val="0"/>
          <w:caps w:val="0"/>
          <w:color w:val="000000"/>
          <w:spacing w:val="0"/>
          <w:sz w:val="24"/>
          <w:szCs w:val="24"/>
        </w:rPr>
        <w:t>后不退）</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、投标保证金：</w:t>
      </w:r>
      <w:r>
        <w:rPr>
          <w:rFonts w:hint="eastAsia" w:ascii="仿宋" w:hAnsi="仿宋" w:eastAsia="仿宋" w:cs="仿宋"/>
          <w:b/>
          <w:bCs/>
          <w:sz w:val="24"/>
          <w:szCs w:val="24"/>
          <w:lang w:val="en-US" w:eastAsia="zh-CN"/>
        </w:rPr>
        <w:t>20000元</w:t>
      </w:r>
      <w:r>
        <w:rPr>
          <w:rFonts w:hint="eastAsia" w:ascii="仿宋" w:hAnsi="仿宋" w:eastAsia="仿宋" w:cs="仿宋"/>
          <w:sz w:val="24"/>
          <w:szCs w:val="24"/>
          <w:lang w:val="en-US" w:eastAsia="zh-CN"/>
        </w:rPr>
        <w:t>。</w:t>
      </w:r>
      <w:r>
        <w:rPr>
          <w:rFonts w:hint="eastAsia" w:ascii="仿宋" w:hAnsi="仿宋" w:eastAsia="仿宋" w:cs="仿宋"/>
          <w:sz w:val="24"/>
          <w:szCs w:val="24"/>
        </w:rPr>
        <w:t>投标保证金一律采用转账方式汇至我单位银行账户</w:t>
      </w:r>
      <w:r>
        <w:rPr>
          <w:rFonts w:hint="eastAsia" w:ascii="仿宋" w:hAnsi="仿宋" w:eastAsia="仿宋" w:cs="仿宋"/>
          <w:sz w:val="24"/>
          <w:szCs w:val="24"/>
          <w:lang w:eastAsia="zh-CN"/>
        </w:rPr>
        <w:t>，</w:t>
      </w:r>
      <w:r>
        <w:rPr>
          <w:rFonts w:hint="eastAsia" w:ascii="仿宋" w:hAnsi="仿宋" w:eastAsia="仿宋" w:cs="仿宋"/>
          <w:color w:val="FF0000"/>
          <w:sz w:val="24"/>
          <w:szCs w:val="24"/>
          <w:highlight w:val="none"/>
        </w:rPr>
        <w:t>转账时备注项目名称及用途</w:t>
      </w:r>
      <w:r>
        <w:rPr>
          <w:rFonts w:hint="eastAsia" w:ascii="仿宋" w:hAnsi="仿宋" w:eastAsia="仿宋" w:cs="仿宋"/>
          <w:sz w:val="24"/>
          <w:szCs w:val="24"/>
        </w:rPr>
        <w:t>，我处原则上不接受现金交纳方式；</w:t>
      </w:r>
      <w:r>
        <w:rPr>
          <w:rFonts w:hint="eastAsia" w:ascii="仿宋" w:hAnsi="仿宋" w:eastAsia="仿宋" w:cs="仿宋"/>
          <w:color w:val="FF0000"/>
          <w:sz w:val="24"/>
          <w:szCs w:val="24"/>
          <w:lang w:val="en-US" w:eastAsia="zh-CN"/>
        </w:rPr>
        <w:t>投标保证金必须在投标报名前汇至我单位，报名时附汇款记录。如报名时未交投标保证金和附投标保证金汇款记录，则报名不成功，我单位将不接受投标文件。</w:t>
      </w:r>
      <w:r>
        <w:rPr>
          <w:rFonts w:hint="eastAsia" w:ascii="仿宋" w:hAnsi="仿宋" w:eastAsia="仿宋" w:cs="仿宋"/>
          <w:sz w:val="24"/>
          <w:szCs w:val="24"/>
        </w:rPr>
        <w:t>在退还投标保证金时，我处一律采用转账方式予以退还到各单位银行账户上。（未中标单位交纳的投标保证金将等额无息退还，中标单位交纳的投标保证金则转为履约保证金，合同签订</w:t>
      </w:r>
      <w:r>
        <w:rPr>
          <w:rFonts w:hint="eastAsia" w:ascii="仿宋" w:hAnsi="仿宋" w:eastAsia="仿宋" w:cs="仿宋"/>
          <w:sz w:val="24"/>
          <w:szCs w:val="24"/>
          <w:lang w:eastAsia="zh-CN"/>
        </w:rPr>
        <w:t>，项目施工结束</w:t>
      </w:r>
      <w:r>
        <w:rPr>
          <w:rFonts w:hint="eastAsia" w:ascii="仿宋" w:hAnsi="仿宋" w:eastAsia="仿宋" w:cs="仿宋"/>
          <w:sz w:val="24"/>
          <w:szCs w:val="24"/>
        </w:rPr>
        <w:t>后，将等额无息退还。）</w:t>
      </w:r>
    </w:p>
    <w:p>
      <w:pPr>
        <w:pStyle w:val="15"/>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南通理工学院账户信息：</w:t>
      </w:r>
    </w:p>
    <w:p>
      <w:pPr>
        <w:pStyle w:val="15"/>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开户名：南通理工学院</w:t>
      </w:r>
    </w:p>
    <w:p>
      <w:pPr>
        <w:pStyle w:val="15"/>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统一社会代码：12320000724161141N</w:t>
      </w:r>
    </w:p>
    <w:p>
      <w:pPr>
        <w:pStyle w:val="15"/>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开户行：中行南通分行营业部</w:t>
      </w:r>
    </w:p>
    <w:p>
      <w:pPr>
        <w:pStyle w:val="15"/>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账号：541758202529</w:t>
      </w:r>
    </w:p>
    <w:p>
      <w:pPr>
        <w:pStyle w:val="15"/>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行号：104306084105</w:t>
      </w:r>
    </w:p>
    <w:p>
      <w:pPr>
        <w:pStyle w:val="15"/>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地址：南通市崇川区永兴路211号</w:t>
      </w:r>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b/>
          <w:bCs/>
          <w:i w:val="0"/>
          <w:caps w:val="0"/>
          <w:color w:val="000000"/>
          <w:spacing w:val="0"/>
          <w:kern w:val="0"/>
          <w:sz w:val="24"/>
          <w:szCs w:val="24"/>
          <w:lang w:val="en-US" w:eastAsia="zh-CN" w:bidi="ar"/>
        </w:rPr>
      </w:pPr>
      <w:r>
        <w:rPr>
          <w:rFonts w:hint="eastAsia" w:ascii="仿宋" w:hAnsi="仿宋" w:eastAsia="仿宋" w:cs="仿宋"/>
          <w:b/>
          <w:bCs/>
          <w:i w:val="0"/>
          <w:caps w:val="0"/>
          <w:color w:val="000000"/>
          <w:spacing w:val="0"/>
          <w:kern w:val="0"/>
          <w:sz w:val="24"/>
          <w:szCs w:val="24"/>
          <w:lang w:val="en-US" w:eastAsia="zh-CN" w:bidi="ar"/>
        </w:rPr>
        <w:t>七、时间、地点安排</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1、投标报名时间：</w:t>
      </w:r>
      <w:r>
        <w:rPr>
          <w:rFonts w:hint="eastAsia" w:ascii="仿宋" w:hAnsi="仿宋" w:eastAsia="仿宋" w:cs="仿宋"/>
          <w:sz w:val="24"/>
          <w:szCs w:val="24"/>
        </w:rPr>
        <w:t>潜在投标人如确定参加投标，请务必于</w:t>
      </w:r>
      <w:r>
        <w:rPr>
          <w:rFonts w:hint="eastAsia" w:ascii="仿宋" w:hAnsi="仿宋" w:eastAsia="仿宋" w:cs="仿宋"/>
          <w:sz w:val="24"/>
          <w:szCs w:val="24"/>
          <w:lang w:val="en-US" w:eastAsia="zh-CN"/>
        </w:rPr>
        <w:t>2023年6月9日11时00分</w:t>
      </w:r>
      <w:r>
        <w:rPr>
          <w:rFonts w:hint="eastAsia" w:ascii="仿宋" w:hAnsi="仿宋" w:eastAsia="仿宋" w:cs="仿宋"/>
          <w:sz w:val="24"/>
          <w:szCs w:val="24"/>
        </w:rPr>
        <w:t>前将“报名投标确认函”（格式见招标文件第</w:t>
      </w:r>
      <w:r>
        <w:rPr>
          <w:rFonts w:hint="eastAsia" w:ascii="仿宋" w:hAnsi="仿宋" w:eastAsia="仿宋" w:cs="仿宋"/>
          <w:sz w:val="24"/>
          <w:szCs w:val="24"/>
          <w:lang w:val="en-US" w:eastAsia="zh-CN"/>
        </w:rPr>
        <w:t>五</w:t>
      </w:r>
      <w:r>
        <w:rPr>
          <w:rFonts w:hint="eastAsia" w:ascii="仿宋" w:hAnsi="仿宋" w:eastAsia="仿宋" w:cs="仿宋"/>
          <w:sz w:val="24"/>
          <w:szCs w:val="24"/>
        </w:rPr>
        <w:t>部分“附件8” ）填写完整</w:t>
      </w:r>
      <w:r>
        <w:rPr>
          <w:rFonts w:hint="eastAsia" w:ascii="仿宋" w:hAnsi="仿宋" w:eastAsia="仿宋" w:cs="仿宋"/>
          <w:sz w:val="24"/>
          <w:szCs w:val="24"/>
          <w:lang w:val="en-US" w:eastAsia="zh-CN"/>
        </w:rPr>
        <w:t>后扫描+</w:t>
      </w:r>
      <w:r>
        <w:rPr>
          <w:rFonts w:hint="eastAsia" w:ascii="仿宋" w:hAnsi="仿宋" w:eastAsia="仿宋" w:cs="仿宋"/>
          <w:color w:val="FF0000"/>
          <w:sz w:val="24"/>
          <w:szCs w:val="24"/>
          <w:lang w:val="en-US" w:eastAsia="zh-CN"/>
        </w:rPr>
        <w:t>投保保证金汇款记录+标书费汇款记录</w:t>
      </w:r>
      <w:r>
        <w:rPr>
          <w:rFonts w:hint="eastAsia" w:ascii="仿宋" w:hAnsi="仿宋" w:eastAsia="仿宋" w:cs="仿宋"/>
          <w:sz w:val="24"/>
          <w:szCs w:val="24"/>
        </w:rPr>
        <w:t>，发送电子邮件至以下邮箱：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仿宋" w:hAnsi="仿宋" w:eastAsia="仿宋" w:cs="仿宋"/>
          <w:b/>
          <w:bCs/>
          <w:sz w:val="24"/>
          <w:szCs w:val="24"/>
          <w:lang w:val="en-US" w:eastAsia="zh-CN"/>
        </w:rPr>
        <w:t>邮件主题：</w:t>
      </w:r>
      <w:r>
        <w:rPr>
          <w:rFonts w:hint="eastAsia" w:ascii="仿宋" w:hAnsi="仿宋" w:eastAsia="仿宋" w:cs="仿宋"/>
          <w:color w:val="FF0000"/>
          <w:sz w:val="24"/>
          <w:szCs w:val="24"/>
          <w:lang w:val="en-US" w:eastAsia="zh-CN"/>
        </w:rPr>
        <w:t>***公司****项目报名。</w:t>
      </w:r>
      <w:r>
        <w:rPr>
          <w:rFonts w:hint="eastAsia" w:ascii="仿宋" w:hAnsi="仿宋" w:eastAsia="仿宋" w:cs="仿宋"/>
          <w:sz w:val="24"/>
          <w:szCs w:val="24"/>
        </w:rPr>
        <w:t>如潜在投标人未按上述要求操作，将自行承担所产生的风险。</w:t>
      </w:r>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420" w:firstLineChars="175"/>
        <w:jc w:val="left"/>
        <w:textAlignment w:val="auto"/>
        <w:outlineLvl w:val="9"/>
        <w:rPr>
          <w:rFonts w:hint="eastAsia"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2、递交投标文件时间：2023年6月12日（</w:t>
      </w:r>
      <w:r>
        <w:rPr>
          <w:rFonts w:hint="eastAsia" w:ascii="仿宋" w:hAnsi="仿宋" w:eastAsia="仿宋" w:cs="仿宋"/>
          <w:color w:val="auto"/>
          <w:kern w:val="0"/>
          <w:sz w:val="24"/>
          <w:szCs w:val="24"/>
          <w:lang w:val="en-US" w:eastAsia="zh-CN" w:bidi="ar"/>
        </w:rPr>
        <w:t>9:00-10:00</w:t>
      </w:r>
      <w:r>
        <w:rPr>
          <w:rFonts w:hint="eastAsia" w:ascii="仿宋" w:hAnsi="仿宋" w:eastAsia="仿宋" w:cs="仿宋"/>
          <w:b w:val="0"/>
          <w:i w:val="0"/>
          <w:caps w:val="0"/>
          <w:color w:val="auto"/>
          <w:spacing w:val="0"/>
          <w:kern w:val="0"/>
          <w:sz w:val="24"/>
          <w:szCs w:val="24"/>
          <w:lang w:val="en-US" w:eastAsia="zh-CN" w:bidi="ar"/>
        </w:rPr>
        <w:t>）将投标文件（要求密封）递交我校资产与基建处资产管理中心。</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响应文件接收截止时间：20</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日1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时00分</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val="0"/>
        <w:autoSpaceDN/>
        <w:bidi w:val="0"/>
        <w:adjustRightInd/>
        <w:snapToGrid/>
        <w:spacing w:line="360" w:lineRule="exact"/>
        <w:ind w:right="0" w:rightChars="0" w:firstLine="480" w:firstLineChars="200"/>
        <w:jc w:val="left"/>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b w:val="0"/>
          <w:i w:val="0"/>
          <w:caps w:val="0"/>
          <w:color w:val="FF0000"/>
          <w:spacing w:val="0"/>
          <w:kern w:val="0"/>
          <w:sz w:val="24"/>
          <w:szCs w:val="24"/>
          <w:lang w:val="en-US" w:eastAsia="zh-CN" w:bidi="ar"/>
        </w:rPr>
        <w:t>4、本项目现场不开标，开标时间另行通知。</w:t>
      </w:r>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b/>
          <w:bCs/>
          <w:i w:val="0"/>
          <w:caps w:val="0"/>
          <w:color w:val="000000"/>
          <w:spacing w:val="0"/>
          <w:kern w:val="0"/>
          <w:sz w:val="24"/>
          <w:szCs w:val="24"/>
          <w:lang w:val="en-US" w:eastAsia="zh-CN" w:bidi="ar"/>
        </w:rPr>
      </w:pPr>
      <w:r>
        <w:rPr>
          <w:rFonts w:hint="eastAsia" w:ascii="仿宋" w:hAnsi="仿宋" w:eastAsia="仿宋" w:cs="仿宋"/>
          <w:b/>
          <w:bCs/>
          <w:i w:val="0"/>
          <w:caps w:val="0"/>
          <w:color w:val="000000"/>
          <w:spacing w:val="0"/>
          <w:kern w:val="0"/>
          <w:sz w:val="24"/>
          <w:szCs w:val="24"/>
          <w:lang w:val="en-US" w:eastAsia="zh-CN" w:bidi="ar"/>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疫情防控期间，标书采用邮寄方式。邮寄的投标文件必须密封且在外包装显著位置注明项目标识（项目编号、项目名称和投标人名称），无标识或标识模糊不清的，不予接收。投标文件须用</w:t>
      </w:r>
      <w:r>
        <w:rPr>
          <w:rFonts w:hint="eastAsia" w:ascii="仿宋" w:hAnsi="仿宋" w:eastAsia="仿宋" w:cs="仿宋"/>
          <w:b/>
          <w:bCs/>
          <w:color w:val="FF0000"/>
          <w:sz w:val="24"/>
          <w:szCs w:val="24"/>
          <w:lang w:val="en-US" w:eastAsia="zh-CN"/>
        </w:rPr>
        <w:t>EMS快递或顺丰快递</w:t>
      </w:r>
      <w:r>
        <w:rPr>
          <w:rFonts w:hint="eastAsia" w:ascii="仿宋" w:hAnsi="仿宋" w:eastAsia="仿宋" w:cs="仿宋"/>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收件人：马老师</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收件地址：南通市崇川区永兴路211号南通理工学院资产与基建处行政楼216办公室（行政楼大厅右拐乘电梯到2楼）。</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b/>
          <w:bCs/>
          <w:kern w:val="2"/>
          <w:sz w:val="24"/>
          <w:szCs w:val="24"/>
          <w:lang w:val="en-US" w:eastAsia="zh-CN"/>
        </w:rPr>
      </w:pPr>
      <w:r>
        <w:rPr>
          <w:rFonts w:hint="eastAsia" w:ascii="仿宋" w:hAnsi="仿宋" w:eastAsia="仿宋" w:cs="仿宋"/>
          <w:sz w:val="24"/>
          <w:szCs w:val="24"/>
          <w:lang w:val="en-US" w:eastAsia="zh-CN"/>
        </w:rPr>
        <w:t>联系电话：</w:t>
      </w:r>
      <w:r>
        <w:rPr>
          <w:rFonts w:hint="eastAsia" w:ascii="仿宋" w:hAnsi="仿宋" w:eastAsia="仿宋" w:cs="仿宋"/>
          <w:kern w:val="2"/>
          <w:sz w:val="24"/>
          <w:szCs w:val="24"/>
          <w:lang w:val="en-US" w:eastAsia="zh-CN"/>
        </w:rPr>
        <w:t>15262795019</w:t>
      </w:r>
    </w:p>
    <w:p>
      <w:pPr>
        <w:pStyle w:val="15"/>
        <w:widowControl/>
        <w:spacing w:beforeAutospacing="0" w:afterAutospacing="0" w:line="360" w:lineRule="exact"/>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rPr>
        <w:t>九</w:t>
      </w:r>
      <w:r>
        <w:rPr>
          <w:rFonts w:hint="eastAsia" w:ascii="仿宋" w:hAnsi="仿宋" w:eastAsia="仿宋" w:cs="仿宋"/>
          <w:b/>
          <w:bCs/>
          <w:kern w:val="2"/>
          <w:sz w:val="24"/>
          <w:szCs w:val="24"/>
        </w:rPr>
        <w:t>、与本次谈判有关的商务事宜请按下列通讯方式联系</w:t>
      </w:r>
    </w:p>
    <w:p>
      <w:pPr>
        <w:pStyle w:val="15"/>
        <w:widowControl/>
        <w:spacing w:beforeAutospacing="0" w:afterAutospacing="0" w:line="360" w:lineRule="exact"/>
        <w:rPr>
          <w:rFonts w:hint="eastAsia" w:ascii="仿宋" w:hAnsi="仿宋" w:eastAsia="仿宋" w:cs="仿宋"/>
          <w:kern w:val="2"/>
          <w:sz w:val="24"/>
          <w:szCs w:val="24"/>
          <w:lang w:val="en-US" w:eastAsia="zh-CN"/>
        </w:rPr>
      </w:pPr>
      <w:r>
        <w:rPr>
          <w:rFonts w:hint="eastAsia" w:ascii="仿宋" w:hAnsi="仿宋" w:eastAsia="仿宋" w:cs="仿宋"/>
          <w:b/>
          <w:bCs/>
          <w:kern w:val="2"/>
          <w:sz w:val="24"/>
          <w:szCs w:val="24"/>
          <w:lang w:val="en-US" w:eastAsia="zh-CN"/>
        </w:rPr>
        <w:t>招标联系人及方式：</w:t>
      </w:r>
    </w:p>
    <w:p>
      <w:pPr>
        <w:pStyle w:val="15"/>
        <w:widowControl/>
        <w:spacing w:beforeAutospacing="0" w:afterAutospacing="0" w:line="360" w:lineRule="exact"/>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资产与基建处招标采购中心</w:t>
      </w:r>
    </w:p>
    <w:p>
      <w:pPr>
        <w:pStyle w:val="15"/>
        <w:widowControl/>
        <w:spacing w:beforeAutospacing="0" w:afterAutospacing="0" w:line="360" w:lineRule="exact"/>
        <w:rPr>
          <w:rFonts w:hint="eastAsia" w:ascii="仿宋" w:hAnsi="仿宋" w:eastAsia="仿宋" w:cs="仿宋"/>
          <w:kern w:val="2"/>
          <w:sz w:val="24"/>
          <w:szCs w:val="24"/>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kern w:val="2"/>
          <w:sz w:val="24"/>
          <w:szCs w:val="24"/>
          <w:lang w:val="en-US" w:eastAsia="zh-CN"/>
        </w:rPr>
        <w:t>216</w:t>
      </w:r>
      <w:r>
        <w:rPr>
          <w:rFonts w:hint="eastAsia" w:ascii="仿宋" w:hAnsi="仿宋" w:eastAsia="仿宋" w:cs="仿宋"/>
          <w:kern w:val="2"/>
          <w:sz w:val="24"/>
          <w:szCs w:val="24"/>
        </w:rPr>
        <w:t>办公室。</w:t>
      </w:r>
    </w:p>
    <w:p>
      <w:pPr>
        <w:pStyle w:val="15"/>
        <w:widowControl/>
        <w:spacing w:beforeAutospacing="0" w:afterAutospacing="0" w:line="360" w:lineRule="exact"/>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5"/>
        <w:widowControl/>
        <w:spacing w:beforeAutospacing="0" w:afterAutospacing="0" w:line="360" w:lineRule="exact"/>
        <w:rPr>
          <w:rFonts w:hint="default" w:ascii="仿宋" w:hAnsi="仿宋" w:eastAsia="仿宋" w:cs="仿宋"/>
          <w:kern w:val="2"/>
          <w:sz w:val="24"/>
          <w:szCs w:val="24"/>
          <w:lang w:val="en-US"/>
        </w:rPr>
      </w:pPr>
      <w:r>
        <w:rPr>
          <w:rFonts w:hint="eastAsia" w:ascii="仿宋" w:hAnsi="仿宋" w:eastAsia="仿宋" w:cs="仿宋"/>
          <w:kern w:val="2"/>
          <w:sz w:val="24"/>
          <w:szCs w:val="24"/>
          <w:lang w:val="en-US" w:eastAsia="zh-CN"/>
        </w:rPr>
        <w:t>招标</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及方式</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 xml:space="preserve">马老师15262795019 </w:t>
      </w:r>
    </w:p>
    <w:p>
      <w:pPr>
        <w:snapToGrid w:val="0"/>
        <w:spacing w:line="360" w:lineRule="exact"/>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rPr>
        <w:t>技术联系人及方式：</w:t>
      </w:r>
      <w:r>
        <w:rPr>
          <w:rFonts w:hint="eastAsia" w:ascii="仿宋" w:hAnsi="仿宋" w:eastAsia="仿宋" w:cs="仿宋"/>
          <w:color w:val="auto"/>
          <w:kern w:val="2"/>
          <w:sz w:val="24"/>
          <w:szCs w:val="24"/>
          <w:lang w:val="en-US" w:eastAsia="zh-CN" w:bidi="ar-SA"/>
        </w:rPr>
        <w:t>王老师13862908981</w:t>
      </w:r>
    </w:p>
    <w:p>
      <w:pPr>
        <w:pStyle w:val="15"/>
        <w:widowControl/>
        <w:spacing w:beforeAutospacing="0" w:afterAutospacing="0" w:line="360" w:lineRule="exact"/>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bidi="ar-SA"/>
        </w:rPr>
        <w:t>监督及投诉电话：  蔡老师13813609710</w:t>
      </w:r>
      <w:r>
        <w:rPr>
          <w:rFonts w:hint="eastAsia" w:ascii="仿宋" w:hAnsi="仿宋" w:eastAsia="仿宋" w:cs="仿宋"/>
          <w:color w:val="auto"/>
          <w:kern w:val="2"/>
          <w:sz w:val="24"/>
          <w:szCs w:val="24"/>
        </w:rPr>
        <w:t xml:space="preserve"> </w:t>
      </w:r>
    </w:p>
    <w:p>
      <w:pPr>
        <w:pStyle w:val="15"/>
        <w:widowControl/>
        <w:spacing w:beforeAutospacing="0" w:afterAutospacing="0" w:line="360" w:lineRule="exac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Email：</w:t>
      </w:r>
      <w:r>
        <w:rPr>
          <w:rFonts w:hint="eastAsia" w:ascii="仿宋" w:hAnsi="仿宋" w:eastAsia="仿宋" w:cs="仿宋"/>
          <w:color w:val="auto"/>
          <w:sz w:val="24"/>
          <w:szCs w:val="24"/>
        </w:rPr>
        <w:t>caichl@ntit.edu.cn</w:t>
      </w:r>
      <w:r>
        <w:rPr>
          <w:rFonts w:hint="eastAsia" w:ascii="仿宋" w:hAnsi="仿宋" w:eastAsia="仿宋" w:cs="仿宋"/>
          <w:color w:val="auto"/>
          <w:kern w:val="2"/>
          <w:sz w:val="24"/>
          <w:szCs w:val="24"/>
        </w:rPr>
        <w:t>。</w:t>
      </w:r>
    </w:p>
    <w:p>
      <w:pPr>
        <w:pStyle w:val="15"/>
        <w:widowControl/>
        <w:spacing w:beforeAutospacing="0" w:afterAutospacing="0" w:line="360" w:lineRule="exact"/>
        <w:rPr>
          <w:rFonts w:hint="default"/>
          <w:color w:val="auto"/>
          <w:lang w:val="en-US"/>
        </w:rPr>
      </w:pPr>
      <w:r>
        <w:rPr>
          <w:rFonts w:hint="eastAsia" w:ascii="仿宋" w:hAnsi="仿宋" w:eastAsia="仿宋" w:cs="仿宋"/>
          <w:color w:val="auto"/>
          <w:kern w:val="2"/>
          <w:sz w:val="24"/>
          <w:szCs w:val="24"/>
          <w:lang w:val="en-US" w:eastAsia="zh-CN"/>
        </w:rPr>
        <w:t>联系时间：工作日8:00-11:00,14:00-17:00。其他时间概不接待。</w:t>
      </w:r>
    </w:p>
    <w:p>
      <w:pPr>
        <w:snapToGrid w:val="0"/>
        <w:spacing w:line="360" w:lineRule="exact"/>
        <w:ind w:firstLine="482" w:firstLineChars="200"/>
        <w:rPr>
          <w:rFonts w:hint="eastAsia" w:ascii="宋体" w:hAnsi="宋体" w:cs="宋体"/>
          <w:b/>
          <w:sz w:val="24"/>
          <w:szCs w:val="24"/>
        </w:rPr>
      </w:pPr>
    </w:p>
    <w:p>
      <w:pPr>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友情提醒：</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hint="eastAsia" w:ascii="宋体" w:hAnsi="宋体" w:cs="宋体"/>
          <w:b w:val="0"/>
          <w:bCs w:val="0"/>
          <w:color w:val="auto"/>
          <w:sz w:val="24"/>
          <w:szCs w:val="24"/>
        </w:rPr>
      </w:pPr>
      <w:r>
        <w:rPr>
          <w:rFonts w:hint="eastAsia" w:ascii="宋体" w:hAnsi="宋体" w:cs="宋体"/>
          <w:sz w:val="24"/>
          <w:szCs w:val="24"/>
        </w:rPr>
        <w:t>2．请投标人认真阅读招</w:t>
      </w:r>
      <w:r>
        <w:rPr>
          <w:rFonts w:hint="eastAsia" w:ascii="宋体" w:hAnsi="宋体" w:cs="宋体"/>
          <w:b w:val="0"/>
          <w:bCs w:val="0"/>
          <w:color w:val="auto"/>
          <w:sz w:val="24"/>
          <w:szCs w:val="24"/>
        </w:rPr>
        <w:t>标文件，严格遵守时间、资料提供等相关约定，如有疑问请及时来人、来函、来电询问。</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3．招标公告发出后，潜在投标人根据招标公告内容，在领取招标文件前，可提出询问；报名结束后，未报名和未领取招标文件的，不能</w:t>
      </w:r>
      <w:r>
        <w:rPr>
          <w:rFonts w:hint="eastAsia" w:ascii="宋体" w:hAnsi="宋体" w:cs="宋体"/>
          <w:sz w:val="24"/>
          <w:szCs w:val="24"/>
          <w:lang w:eastAsia="zh-CN"/>
        </w:rPr>
        <w:t>质疑</w:t>
      </w:r>
      <w:r>
        <w:rPr>
          <w:rFonts w:hint="eastAsia" w:ascii="宋体" w:hAnsi="宋体" w:cs="宋体"/>
          <w:sz w:val="24"/>
          <w:szCs w:val="24"/>
        </w:rPr>
        <w:t>。</w:t>
      </w:r>
    </w:p>
    <w:p>
      <w:pPr>
        <w:spacing w:line="360" w:lineRule="exact"/>
        <w:jc w:val="both"/>
        <w:rPr>
          <w:rFonts w:hint="eastAsia" w:ascii="宋体" w:hAnsi="宋体" w:eastAsia="宋体" w:cs="宋体"/>
          <w:b/>
          <w:bCs/>
          <w:sz w:val="24"/>
          <w:szCs w:val="24"/>
          <w:lang w:val="en-US" w:eastAsia="zh-CN"/>
        </w:rPr>
        <w:sectPr>
          <w:headerReference r:id="rId4" w:type="first"/>
          <w:headerReference r:id="rId3" w:type="default"/>
          <w:footerReference r:id="rId5" w:type="default"/>
          <w:pgSz w:w="11906" w:h="16838"/>
          <w:pgMar w:top="1440" w:right="1417" w:bottom="1440" w:left="1417" w:header="851" w:footer="907" w:gutter="0"/>
          <w:pgNumType w:fmt="decimal" w:start="1"/>
          <w:cols w:space="720" w:num="1"/>
          <w:docGrid w:type="lines" w:linePitch="290" w:charSpace="0"/>
        </w:sectPr>
      </w:pPr>
    </w:p>
    <w:p>
      <w:pPr>
        <w:spacing w:line="300" w:lineRule="auto"/>
        <w:jc w:val="center"/>
        <w:rPr>
          <w:rFonts w:ascii="宋体"/>
          <w:b/>
          <w:sz w:val="44"/>
          <w:szCs w:val="44"/>
        </w:rPr>
      </w:pPr>
      <w:r>
        <w:rPr>
          <w:rFonts w:hint="eastAsia" w:ascii="宋体" w:hAnsi="宋体"/>
          <w:b/>
          <w:spacing w:val="4"/>
          <w:sz w:val="44"/>
          <w:szCs w:val="44"/>
        </w:rPr>
        <w:t>第二部分</w:t>
      </w:r>
      <w:r>
        <w:rPr>
          <w:rFonts w:ascii="宋体" w:hAnsi="宋体"/>
          <w:b/>
          <w:spacing w:val="4"/>
          <w:sz w:val="44"/>
          <w:szCs w:val="44"/>
        </w:rPr>
        <w:t xml:space="preserve">  </w:t>
      </w:r>
      <w:r>
        <w:rPr>
          <w:rFonts w:hint="eastAsia" w:ascii="宋体" w:hAnsi="宋体"/>
          <w:b/>
          <w:sz w:val="44"/>
          <w:szCs w:val="44"/>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eastAsia="宋体"/>
          <w:sz w:val="24"/>
        </w:rPr>
      </w:pPr>
      <w:r>
        <w:rPr>
          <w:rFonts w:hint="eastAsia" w:eastAsia="宋体"/>
          <w:sz w:val="24"/>
        </w:rPr>
        <w:t>（4）法定代表人及授权代表身份证复印件或其他相关证明</w:t>
      </w:r>
    </w:p>
    <w:p>
      <w:pPr>
        <w:spacing w:line="360" w:lineRule="auto"/>
        <w:ind w:firstLine="480" w:firstLineChars="200"/>
        <w:rPr>
          <w:rFonts w:hint="eastAsia" w:eastAsia="宋体"/>
          <w:sz w:val="24"/>
          <w:lang w:eastAsia="zh-CN"/>
        </w:rPr>
      </w:pPr>
      <w:r>
        <w:rPr>
          <w:rFonts w:hint="eastAsia" w:eastAsia="宋体"/>
          <w:sz w:val="24"/>
        </w:rPr>
        <w:t>（5）投标人近三年内无行贿犯罪违法记录声明</w:t>
      </w:r>
      <w:r>
        <w:rPr>
          <w:rFonts w:hint="eastAsia" w:eastAsia="宋体"/>
          <w:sz w:val="24"/>
          <w:lang w:eastAsia="zh-CN"/>
        </w:rPr>
        <w:t>（</w:t>
      </w:r>
      <w:r>
        <w:rPr>
          <w:rFonts w:hint="eastAsia" w:eastAsia="宋体"/>
          <w:sz w:val="24"/>
          <w:lang w:val="en-US" w:eastAsia="zh-CN"/>
        </w:rPr>
        <w:t>包含声明、中国政府采购网www.ccgp.gov.cn未被列入政府采购严重违法失信行为记录名单、“信用中国”网站www.creditchina.gov.cn未被列入失信执行人及重大税收违法案件当事人名单</w:t>
      </w:r>
      <w:r>
        <w:rPr>
          <w:rFonts w:hint="eastAsia" w:eastAsia="宋体"/>
          <w:sz w:val="24"/>
          <w:lang w:eastAsia="zh-CN"/>
        </w:rPr>
        <w:t>）。</w:t>
      </w:r>
    </w:p>
    <w:p>
      <w:pPr>
        <w:spacing w:line="360" w:lineRule="auto"/>
        <w:ind w:firstLine="480" w:firstLineChars="200"/>
        <w:rPr>
          <w:rFonts w:hint="eastAsia" w:eastAsia="宋体"/>
          <w:sz w:val="24"/>
          <w:lang w:eastAsia="zh-CN"/>
        </w:rPr>
      </w:pPr>
      <w:r>
        <w:rPr>
          <w:rFonts w:hint="eastAsia" w:eastAsia="宋体"/>
          <w:sz w:val="24"/>
          <w:lang w:eastAsia="zh-CN"/>
        </w:rPr>
        <w:t>（</w:t>
      </w:r>
      <w:r>
        <w:rPr>
          <w:rFonts w:hint="eastAsia" w:eastAsia="宋体"/>
          <w:sz w:val="24"/>
          <w:lang w:val="en-US" w:eastAsia="zh-CN"/>
        </w:rPr>
        <w:t>6</w:t>
      </w:r>
      <w:r>
        <w:rPr>
          <w:rFonts w:hint="eastAsia" w:eastAsia="宋体"/>
          <w:sz w:val="24"/>
          <w:lang w:eastAsia="zh-CN"/>
        </w:rPr>
        <w:t>）</w:t>
      </w:r>
      <w:r>
        <w:rPr>
          <w:rFonts w:hint="eastAsia" w:eastAsia="宋体"/>
          <w:sz w:val="24"/>
        </w:rPr>
        <w:t>具有履行合同所必需的资质和能力等文件</w:t>
      </w:r>
    </w:p>
    <w:p>
      <w:pPr>
        <w:spacing w:line="360" w:lineRule="auto"/>
        <w:ind w:firstLine="480" w:firstLineChars="200"/>
        <w:rPr>
          <w:rFonts w:hint="default" w:eastAsia="宋体"/>
          <w:sz w:val="24"/>
          <w:lang w:val="en-US" w:eastAsia="zh-CN"/>
        </w:rPr>
      </w:pPr>
      <w:r>
        <w:rPr>
          <w:rFonts w:hint="eastAsia" w:eastAsia="宋体"/>
          <w:sz w:val="24"/>
          <w:lang w:eastAsia="zh-CN"/>
        </w:rPr>
        <w:t>（</w:t>
      </w:r>
      <w:r>
        <w:rPr>
          <w:rFonts w:hint="eastAsia" w:eastAsia="宋体"/>
          <w:sz w:val="24"/>
          <w:lang w:val="en-US" w:eastAsia="zh-CN"/>
        </w:rPr>
        <w:t>7</w:t>
      </w:r>
      <w:r>
        <w:rPr>
          <w:rFonts w:hint="eastAsia" w:eastAsia="宋体"/>
          <w:sz w:val="24"/>
          <w:lang w:eastAsia="zh-CN"/>
        </w:rPr>
        <w:t>）</w:t>
      </w:r>
      <w:r>
        <w:rPr>
          <w:rFonts w:hint="eastAsia" w:eastAsia="宋体"/>
          <w:sz w:val="24"/>
          <w:lang w:val="en-US" w:eastAsia="zh-CN"/>
        </w:rPr>
        <w:t>厂家授权原件，原厂质保函等。</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w:t>
      </w:r>
      <w:r>
        <w:rPr>
          <w:rFonts w:hint="eastAsia"/>
          <w:sz w:val="24"/>
          <w:lang w:val="en-US" w:eastAsia="zh-CN"/>
        </w:rPr>
        <w:t>和投标主要设备品牌厂家</w:t>
      </w:r>
      <w:r>
        <w:rPr>
          <w:rFonts w:hint="eastAsia"/>
          <w:sz w:val="24"/>
        </w:rPr>
        <w:t>近三年以来与本次招标货物同类产品的销售业绩（合同复印件，原件备查）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）投标产品宣传彩页、合格文件、技术资料</w:t>
      </w:r>
      <w:r>
        <w:rPr>
          <w:rFonts w:hint="eastAsia"/>
          <w:sz w:val="24"/>
          <w:lang w:eastAsia="zh-CN"/>
        </w:rPr>
        <w:t>、</w:t>
      </w:r>
      <w:r>
        <w:rPr>
          <w:rFonts w:hint="eastAsia"/>
          <w:sz w:val="24"/>
          <w:lang w:val="en-US" w:eastAsia="zh-CN"/>
        </w:rPr>
        <w:t>检测报告</w:t>
      </w:r>
      <w:r>
        <w:rPr>
          <w:rFonts w:hint="eastAsia"/>
          <w:sz w:val="24"/>
        </w:rPr>
        <w:t>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w:t>
      </w:r>
      <w:r>
        <w:rPr>
          <w:rFonts w:hint="eastAsia"/>
          <w:sz w:val="24"/>
          <w:lang w:eastAsia="zh-CN"/>
        </w:rPr>
        <w:t>；</w:t>
      </w:r>
      <w:r>
        <w:rPr>
          <w:rFonts w:hint="eastAsia"/>
          <w:sz w:val="24"/>
        </w:rPr>
        <w:t>商务文件二（资格证明）正本</w:t>
      </w:r>
      <w:r>
        <w:rPr>
          <w:sz w:val="24"/>
        </w:rPr>
        <w:t>1</w:t>
      </w:r>
      <w:r>
        <w:rPr>
          <w:rFonts w:hint="eastAsia"/>
          <w:sz w:val="24"/>
        </w:rPr>
        <w:t>份</w:t>
      </w:r>
      <w:r>
        <w:rPr>
          <w:rFonts w:hint="eastAsia"/>
          <w:sz w:val="24"/>
          <w:lang w:eastAsia="zh-CN"/>
        </w:rPr>
        <w:t>；</w:t>
      </w:r>
      <w:r>
        <w:rPr>
          <w:rFonts w:hint="eastAsia"/>
          <w:sz w:val="24"/>
        </w:rPr>
        <w:t>技术文件正本</w:t>
      </w:r>
      <w:r>
        <w:rPr>
          <w:sz w:val="24"/>
        </w:rPr>
        <w:t>1</w:t>
      </w:r>
      <w:r>
        <w:rPr>
          <w:rFonts w:hint="eastAsia"/>
          <w:sz w:val="24"/>
        </w:rPr>
        <w:t>份、副本</w:t>
      </w:r>
      <w:r>
        <w:rPr>
          <w:sz w:val="24"/>
        </w:rPr>
        <w:t>4</w:t>
      </w:r>
      <w:r>
        <w:rPr>
          <w:rFonts w:hint="eastAsia"/>
          <w:sz w:val="24"/>
        </w:rPr>
        <w:t>份</w:t>
      </w:r>
      <w:r>
        <w:rPr>
          <w:rFonts w:hint="eastAsia"/>
          <w:sz w:val="24"/>
          <w:lang w:eastAsia="zh-CN"/>
        </w:rPr>
        <w:t>。</w:t>
      </w:r>
      <w:r>
        <w:rPr>
          <w:rFonts w:hint="eastAsia"/>
          <w:b/>
          <w:bCs/>
          <w:sz w:val="24"/>
          <w:highlight w:val="none"/>
        </w:rPr>
        <w:t>商务文件一（报价）、商务文件二（资格证明）和技术文件须</w:t>
      </w:r>
      <w:r>
        <w:rPr>
          <w:rFonts w:hint="eastAsia"/>
          <w:sz w:val="24"/>
          <w:highlight w:val="red"/>
        </w:rPr>
        <w:t>分开装</w:t>
      </w:r>
      <w:r>
        <w:rPr>
          <w:rFonts w:hint="eastAsia"/>
          <w:sz w:val="24"/>
        </w:rPr>
        <w:t>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480" w:firstLineChars="2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left="0" w:leftChars="0" w:firstLine="420" w:firstLineChars="175"/>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left="0" w:leftChars="0" w:firstLine="420" w:firstLineChars="175"/>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left="0" w:leftChars="0" w:firstLine="420" w:firstLineChars="175"/>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left="0" w:leftChars="0" w:firstLine="420" w:firstLineChars="175"/>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r>
        <w:rPr>
          <w:rFonts w:hint="eastAsia"/>
          <w:b/>
          <w:bCs/>
          <w:color w:val="FF0000"/>
          <w:sz w:val="24"/>
          <w:lang w:val="en-US" w:eastAsia="zh-CN"/>
        </w:rPr>
        <w:t>投标单位须考虑与</w:t>
      </w:r>
      <w:r>
        <w:rPr>
          <w:rFonts w:hint="eastAsia"/>
          <w:b/>
          <w:bCs/>
          <w:color w:val="FF0000"/>
          <w:sz w:val="24"/>
        </w:rPr>
        <w:t>甲供设备对接配合等</w:t>
      </w:r>
      <w:r>
        <w:rPr>
          <w:rFonts w:hint="eastAsia"/>
          <w:b/>
          <w:bCs/>
          <w:color w:val="FF0000"/>
          <w:sz w:val="24"/>
          <w:lang w:val="en-US" w:eastAsia="zh-CN"/>
        </w:rPr>
        <w:t>相关</w:t>
      </w:r>
      <w:r>
        <w:rPr>
          <w:rFonts w:hint="eastAsia"/>
          <w:b/>
          <w:bCs/>
          <w:color w:val="FF0000"/>
          <w:sz w:val="24"/>
        </w:rPr>
        <w:t>费用</w:t>
      </w:r>
      <w:r>
        <w:rPr>
          <w:rFonts w:hint="eastAsia"/>
          <w:b/>
          <w:bCs/>
          <w:color w:val="FF0000"/>
          <w:sz w:val="24"/>
          <w:lang w:eastAsia="zh-CN"/>
        </w:rPr>
        <w:t>。</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w:t>
      </w:r>
      <w:r>
        <w:rPr>
          <w:rFonts w:hint="eastAsia"/>
          <w:sz w:val="24"/>
          <w:lang w:eastAsia="zh-CN"/>
        </w:rPr>
        <w:t>作出</w:t>
      </w:r>
      <w:r>
        <w:rPr>
          <w:rFonts w:hint="eastAsia"/>
          <w:sz w:val="24"/>
        </w:rPr>
        <w:t>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w:t>
      </w:r>
      <w:r>
        <w:rPr>
          <w:rFonts w:hint="eastAsia"/>
          <w:sz w:val="24"/>
          <w:lang w:eastAsia="zh-CN"/>
        </w:rPr>
        <w:t>之前</w:t>
      </w:r>
      <w:r>
        <w:rPr>
          <w:rFonts w:hint="eastAsia"/>
          <w:sz w:val="24"/>
        </w:rPr>
        <w:t>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color w:val="FF0000"/>
          <w:spacing w:val="2"/>
          <w:kern w:val="0"/>
          <w:sz w:val="24"/>
        </w:rPr>
        <w:t>（</w:t>
      </w:r>
      <w:r>
        <w:rPr>
          <w:rFonts w:hint="eastAsia" w:ascii="宋体" w:hAnsi="宋体" w:cs="宋体"/>
          <w:color w:val="FF0000"/>
          <w:spacing w:val="2"/>
          <w:kern w:val="0"/>
          <w:sz w:val="24"/>
          <w:lang w:eastAsia="zh-CN"/>
        </w:rPr>
        <w:t>南通理工学院</w:t>
      </w:r>
      <w:r>
        <w:rPr>
          <w:rFonts w:hint="eastAsia" w:ascii="宋体" w:hAnsi="宋体" w:cs="宋体"/>
          <w:color w:val="FF0000"/>
          <w:spacing w:val="2"/>
          <w:kern w:val="0"/>
          <w:sz w:val="24"/>
        </w:rPr>
        <w:t>主校区</w:t>
      </w:r>
      <w:r>
        <w:rPr>
          <w:rFonts w:hint="eastAsia" w:ascii="宋体" w:hAnsi="宋体" w:cs="宋体"/>
          <w:color w:val="FF0000"/>
          <w:spacing w:val="2"/>
          <w:kern w:val="0"/>
          <w:sz w:val="24"/>
          <w:lang w:val="en-US" w:eastAsia="zh-CN"/>
        </w:rPr>
        <w:t>行政楼216</w:t>
      </w:r>
      <w:r>
        <w:rPr>
          <w:rFonts w:hint="eastAsia" w:ascii="宋体" w:hAnsi="宋体" w:cs="宋体"/>
          <w:color w:val="FF0000"/>
          <w:spacing w:val="2"/>
          <w:kern w:val="0"/>
          <w:sz w:val="24"/>
        </w:rPr>
        <w:t>）</w:t>
      </w:r>
      <w:r>
        <w:rPr>
          <w:rFonts w:hint="eastAsia"/>
          <w:sz w:val="24"/>
        </w:rPr>
        <w:t>，</w:t>
      </w:r>
      <w:r>
        <w:rPr>
          <w:rFonts w:hint="eastAsia" w:ascii="黑体" w:eastAsia="黑体"/>
          <w:b/>
          <w:sz w:val="24"/>
        </w:rPr>
        <w:t>逾期送达或未送达指定地点以及未按询价文件要求密封的投标文件，潜在投标人须自行承担相应风险。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招标人按规定的时间和地点进行公开开标，</w:t>
      </w:r>
      <w:r>
        <w:rPr>
          <w:rFonts w:hint="eastAsia"/>
          <w:color w:val="FF0000"/>
          <w:sz w:val="24"/>
        </w:rPr>
        <w:t>投标人</w:t>
      </w:r>
      <w:r>
        <w:rPr>
          <w:rFonts w:hint="eastAsia"/>
          <w:color w:val="FF0000"/>
          <w:sz w:val="24"/>
          <w:lang w:val="en-US" w:eastAsia="zh-CN"/>
        </w:rPr>
        <w:t>根据招标人通知</w:t>
      </w:r>
      <w:r>
        <w:rPr>
          <w:rFonts w:hint="eastAsia"/>
          <w:sz w:val="24"/>
        </w:rPr>
        <w:t>可派代表（持授权代表身份证明）参加。</w:t>
      </w:r>
      <w:r>
        <w:rPr>
          <w:rFonts w:hint="eastAsia" w:ascii="黑体" w:eastAsia="黑体"/>
          <w:b/>
          <w:sz w:val="24"/>
        </w:rPr>
        <w:t>投标人未派代表参加开标的，视为默认接受开标结果。</w:t>
      </w:r>
    </w:p>
    <w:p>
      <w:pPr>
        <w:spacing w:line="360" w:lineRule="auto"/>
        <w:ind w:firstLine="482" w:firstLineChars="200"/>
        <w:rPr>
          <w:b/>
          <w:sz w:val="24"/>
        </w:rPr>
      </w:pPr>
      <w:r>
        <w:rPr>
          <w:b/>
          <w:sz w:val="24"/>
        </w:rPr>
        <w:t xml:space="preserve">4.2. </w:t>
      </w:r>
      <w:r>
        <w:rPr>
          <w:rFonts w:hint="eastAsia" w:ascii="宋体"/>
          <w:sz w:val="24"/>
          <w:lang w:val="zh-CN"/>
        </w:rPr>
        <w:t>开标时，</w:t>
      </w:r>
      <w:r>
        <w:rPr>
          <w:rFonts w:hint="eastAsia"/>
          <w:sz w:val="24"/>
        </w:rPr>
        <w:t>招标人</w:t>
      </w:r>
      <w:r>
        <w:rPr>
          <w:rFonts w:hint="eastAsia" w:ascii="宋体"/>
          <w:sz w:val="24"/>
          <w:lang w:val="zh-CN"/>
        </w:rPr>
        <w:t>将邀请</w:t>
      </w:r>
      <w:r>
        <w:rPr>
          <w:rFonts w:hint="eastAsia"/>
          <w:sz w:val="24"/>
        </w:rPr>
        <w:t>投标人代表检查投标文件的密封情况，经确认无误后，由工作人员当众拆封，宣读投标人名称、投标价格、交货期等投标文件的主要内容。</w:t>
      </w:r>
    </w:p>
    <w:p>
      <w:pPr>
        <w:spacing w:line="360" w:lineRule="auto"/>
        <w:ind w:firstLine="482" w:firstLineChars="200"/>
        <w:rPr>
          <w:sz w:val="24"/>
        </w:rPr>
      </w:pPr>
      <w:r>
        <w:rPr>
          <w:b/>
          <w:sz w:val="24"/>
        </w:rPr>
        <w:t xml:space="preserve">4.3.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 xml:space="preserve">4.4.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 xml:space="preserve">4.5.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 xml:space="preserve">4.6.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（9）故意哄抬价格或压价等</w:t>
      </w:r>
      <w:r>
        <w:rPr>
          <w:rFonts w:hint="eastAsia"/>
          <w:sz w:val="24"/>
          <w:lang w:eastAsia="zh-CN"/>
        </w:rPr>
        <w:t>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 xml:space="preserve">4.7.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 xml:space="preserve">4.8.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br w:type="page"/>
      </w:r>
      <w:r>
        <w:rPr>
          <w:b/>
          <w:sz w:val="24"/>
        </w:rPr>
        <w:t xml:space="preserve">5.2. </w:t>
      </w:r>
      <w:r>
        <w:rPr>
          <w:rFonts w:hint="eastAsia" w:ascii="宋体" w:hAnsi="宋体"/>
          <w:bCs/>
          <w:sz w:val="24"/>
        </w:rPr>
        <w:t>评分标准</w:t>
      </w:r>
    </w:p>
    <w:tbl>
      <w:tblPr>
        <w:tblStyle w:val="1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w:t>
            </w:r>
          </w:p>
        </w:tc>
        <w:tc>
          <w:tcPr>
            <w:tcW w:w="7213" w:type="dxa"/>
            <w:gridSpan w:val="2"/>
            <w:noWrap w:val="0"/>
            <w:vAlign w:val="center"/>
          </w:tcPr>
          <w:p>
            <w:pPr>
              <w:spacing w:line="240" w:lineRule="auto"/>
              <w:ind w:left="-2" w:leftChars="-1" w:firstLine="420" w:firstLineChars="200"/>
              <w:rPr>
                <w:rFonts w:hint="eastAsia"/>
              </w:rPr>
            </w:pPr>
            <w:r>
              <w:rPr>
                <w:rFonts w:hint="eastAsia"/>
              </w:rPr>
              <w:t>采用算术平均价法：</w:t>
            </w:r>
          </w:p>
          <w:p>
            <w:pPr>
              <w:spacing w:line="240" w:lineRule="auto"/>
              <w:ind w:left="-2" w:leftChars="-1" w:firstLine="420" w:firstLineChars="200"/>
              <w:rPr>
                <w:rFonts w:hint="eastAsia"/>
              </w:rPr>
            </w:pPr>
            <w:r>
              <w:rPr>
                <w:rFonts w:hint="eastAsia"/>
              </w:rPr>
              <w:t>所有有效投标报价的算术平均值作为评标基准价，等于评标基准价的得基本分</w:t>
            </w:r>
            <w:r>
              <w:rPr>
                <w:rFonts w:hint="eastAsia"/>
                <w:lang w:val="en-US" w:eastAsia="zh-CN"/>
              </w:rPr>
              <w:t>35</w:t>
            </w:r>
            <w:r>
              <w:rPr>
                <w:rFonts w:hint="eastAsia"/>
              </w:rPr>
              <w:t>分。投标人的投标报价每高于评标基准价2%扣1分，扣完为止。投标人的投标报价每低于评标基准价2%加1分，最多加</w:t>
            </w:r>
            <w:r>
              <w:rPr>
                <w:rFonts w:hint="eastAsia"/>
                <w:lang w:val="en-US" w:eastAsia="zh-CN"/>
              </w:rPr>
              <w:t>5</w:t>
            </w:r>
            <w:r>
              <w:rPr>
                <w:rFonts w:hint="eastAsia"/>
              </w:rPr>
              <w:t>分。中间插值计算。</w:t>
            </w:r>
          </w:p>
          <w:p>
            <w:pPr>
              <w:spacing w:line="240" w:lineRule="auto"/>
              <w:rPr>
                <w:rFonts w:ascii="宋体" w:hAnsi="宋体" w:cs="宋体"/>
                <w:color w:val="000000"/>
                <w:szCs w:val="21"/>
              </w:rPr>
            </w:pPr>
            <w:r>
              <w:rPr>
                <w:rFonts w:hint="eastAsia"/>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w:t>
            </w:r>
          </w:p>
        </w:tc>
        <w:tc>
          <w:tcPr>
            <w:tcW w:w="1276" w:type="dxa"/>
            <w:noWrap w:val="0"/>
            <w:vAlign w:val="center"/>
          </w:tcPr>
          <w:p>
            <w:pPr>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整体方案（</w:t>
            </w:r>
            <w:r>
              <w:rPr>
                <w:rFonts w:hint="eastAsia" w:ascii="宋体" w:hAnsi="宋体" w:cs="宋体"/>
                <w:color w:val="000000"/>
                <w:szCs w:val="21"/>
                <w:lang w:val="en-US" w:eastAsia="zh-CN"/>
              </w:rPr>
              <w:t>10</w:t>
            </w:r>
            <w:r>
              <w:rPr>
                <w:rFonts w:hint="eastAsia" w:ascii="宋体" w:hAnsi="宋体" w:cs="宋体"/>
                <w:color w:val="000000"/>
                <w:szCs w:val="21"/>
              </w:rPr>
              <w:t>）</w:t>
            </w:r>
          </w:p>
        </w:tc>
        <w:tc>
          <w:tcPr>
            <w:tcW w:w="5937" w:type="dxa"/>
            <w:noWrap w:val="0"/>
            <w:vAlign w:val="center"/>
          </w:tcPr>
          <w:p>
            <w:pPr>
              <w:widowControl/>
              <w:spacing w:line="240" w:lineRule="auto"/>
              <w:rPr>
                <w:rFonts w:hint="eastAsia" w:ascii="宋体" w:hAnsi="宋体" w:eastAsia="宋体" w:cs="宋体"/>
                <w:color w:val="000000"/>
                <w:kern w:val="2"/>
                <w:sz w:val="21"/>
                <w:szCs w:val="21"/>
                <w:lang w:val="en-US" w:eastAsia="zh-CN" w:bidi="ar-SA"/>
              </w:rPr>
            </w:pPr>
            <w:r>
              <w:rPr>
                <w:rFonts w:hint="eastAsia"/>
                <w:color w:val="000000"/>
                <w:szCs w:val="21"/>
              </w:rPr>
              <w:t>根据招标文件要求，提供</w:t>
            </w:r>
            <w:r>
              <w:rPr>
                <w:rFonts w:ascii="宋体" w:hAnsi="宋体" w:cs="宋体"/>
                <w:color w:val="000000"/>
                <w:szCs w:val="21"/>
              </w:rPr>
              <w:t>针对本项目详细</w:t>
            </w:r>
            <w:r>
              <w:rPr>
                <w:rFonts w:hint="eastAsia" w:ascii="宋体" w:hAnsi="宋体" w:cs="宋体"/>
                <w:color w:val="000000"/>
                <w:szCs w:val="21"/>
              </w:rPr>
              <w:t>技术</w:t>
            </w:r>
            <w:r>
              <w:rPr>
                <w:rFonts w:ascii="宋体" w:hAnsi="宋体" w:cs="宋体"/>
                <w:color w:val="000000"/>
                <w:szCs w:val="21"/>
              </w:rPr>
              <w:t>方案</w:t>
            </w:r>
            <w:r>
              <w:rPr>
                <w:rFonts w:hint="eastAsia" w:ascii="宋体" w:hAnsi="宋体" w:cs="宋体"/>
                <w:color w:val="000000"/>
                <w:szCs w:val="21"/>
                <w:lang w:eastAsia="zh-CN"/>
              </w:rPr>
              <w:t>，</w:t>
            </w:r>
            <w:r>
              <w:rPr>
                <w:rFonts w:ascii="宋体" w:hAnsi="宋体" w:cs="宋体"/>
                <w:color w:val="000000"/>
                <w:szCs w:val="21"/>
              </w:rPr>
              <w:t>对各投标人横向对比，</w:t>
            </w:r>
            <w:r>
              <w:rPr>
                <w:rFonts w:hint="eastAsia" w:ascii="宋体" w:hAnsi="宋体" w:cs="宋体"/>
                <w:color w:val="000000"/>
                <w:szCs w:val="21"/>
              </w:rPr>
              <w:t>优得</w:t>
            </w:r>
            <w:r>
              <w:rPr>
                <w:rFonts w:hint="eastAsia" w:ascii="宋体" w:hAnsi="宋体" w:cs="宋体"/>
                <w:color w:val="000000"/>
                <w:szCs w:val="21"/>
                <w:lang w:val="en-US" w:eastAsia="zh-CN"/>
              </w:rPr>
              <w:t>9-10</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5-8</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lang w:val="en-US" w:eastAsia="zh-CN"/>
              </w:rPr>
              <w:t>1-4</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240" w:lineRule="auto"/>
              <w:jc w:val="center"/>
              <w:rPr>
                <w:rFonts w:hint="eastAsia" w:ascii="宋体" w:hAnsi="宋体" w:cs="宋体"/>
                <w:color w:val="000000"/>
                <w:szCs w:val="21"/>
              </w:rPr>
            </w:pPr>
          </w:p>
        </w:tc>
        <w:tc>
          <w:tcPr>
            <w:tcW w:w="1134" w:type="dxa"/>
            <w:vMerge w:val="continue"/>
            <w:noWrap w:val="0"/>
            <w:vAlign w:val="center"/>
          </w:tcPr>
          <w:p>
            <w:pPr>
              <w:spacing w:line="240" w:lineRule="auto"/>
              <w:jc w:val="center"/>
              <w:rPr>
                <w:rFonts w:hint="eastAsia" w:ascii="宋体" w:hAnsi="宋体" w:cs="宋体"/>
                <w:color w:val="000000"/>
                <w:szCs w:val="21"/>
              </w:rPr>
            </w:pPr>
          </w:p>
        </w:tc>
        <w:tc>
          <w:tcPr>
            <w:tcW w:w="1276" w:type="dxa"/>
            <w:noWrap w:val="0"/>
            <w:vAlign w:val="center"/>
          </w:tcPr>
          <w:p>
            <w:pPr>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功能响应（</w:t>
            </w:r>
            <w:r>
              <w:rPr>
                <w:rFonts w:hint="eastAsia" w:ascii="宋体" w:hAnsi="宋体" w:cs="宋体"/>
                <w:color w:val="000000"/>
                <w:szCs w:val="21"/>
                <w:lang w:val="en-US" w:eastAsia="zh-CN"/>
              </w:rPr>
              <w:t>18</w:t>
            </w:r>
            <w:r>
              <w:rPr>
                <w:rFonts w:hint="eastAsia" w:ascii="宋体" w:hAnsi="宋体" w:cs="宋体"/>
                <w:color w:val="000000"/>
                <w:szCs w:val="21"/>
              </w:rPr>
              <w:t>）</w:t>
            </w:r>
          </w:p>
        </w:tc>
        <w:tc>
          <w:tcPr>
            <w:tcW w:w="5937" w:type="dxa"/>
            <w:noWrap w:val="0"/>
            <w:vAlign w:val="center"/>
          </w:tcPr>
          <w:p>
            <w:pPr>
              <w:spacing w:before="100" w:after="100"/>
              <w:ind w:left="0" w:leftChars="0" w:firstLine="420" w:firstLineChars="200"/>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rPr>
              <w:t>综合分析并对各投标人的功能响应横向对比，满足或明显正偏离得</w:t>
            </w:r>
            <w:r>
              <w:rPr>
                <w:rFonts w:hint="eastAsia" w:ascii="宋体" w:hAnsi="宋体" w:cs="宋体"/>
                <w:color w:val="000000"/>
                <w:szCs w:val="21"/>
                <w:lang w:val="en-US" w:eastAsia="zh-CN"/>
              </w:rPr>
              <w:t>17-18</w:t>
            </w:r>
            <w:r>
              <w:rPr>
                <w:rFonts w:hint="eastAsia" w:ascii="宋体" w:hAnsi="宋体" w:cs="宋体"/>
                <w:color w:val="000000"/>
                <w:szCs w:val="21"/>
              </w:rPr>
              <w:t>分，基本达到且无明显负偏离得1</w:t>
            </w:r>
            <w:r>
              <w:rPr>
                <w:rFonts w:hint="eastAsia" w:ascii="宋体" w:hAnsi="宋体" w:cs="宋体"/>
                <w:color w:val="000000"/>
                <w:szCs w:val="21"/>
                <w:lang w:val="en-US" w:eastAsia="zh-CN"/>
              </w:rPr>
              <w:t>1</w:t>
            </w:r>
            <w:r>
              <w:rPr>
                <w:rFonts w:hint="eastAsia" w:ascii="宋体" w:hAnsi="宋体" w:cs="宋体"/>
                <w:color w:val="000000"/>
                <w:szCs w:val="21"/>
              </w:rPr>
              <w:t>-1</w:t>
            </w:r>
            <w:r>
              <w:rPr>
                <w:rFonts w:hint="eastAsia" w:ascii="宋体" w:hAnsi="宋体" w:cs="宋体"/>
                <w:color w:val="000000"/>
                <w:szCs w:val="21"/>
                <w:lang w:val="en-US" w:eastAsia="zh-CN"/>
              </w:rPr>
              <w:t>6</w:t>
            </w:r>
            <w:r>
              <w:rPr>
                <w:rFonts w:hint="eastAsia" w:ascii="宋体" w:hAnsi="宋体" w:cs="宋体"/>
                <w:color w:val="000000"/>
                <w:szCs w:val="21"/>
              </w:rPr>
              <w:t>分，有负偏离酌情扣分，得</w:t>
            </w:r>
            <w:r>
              <w:rPr>
                <w:rFonts w:hint="eastAsia" w:ascii="宋体" w:hAnsi="宋体" w:cs="宋体"/>
                <w:color w:val="000000"/>
                <w:szCs w:val="21"/>
                <w:lang w:val="en-US" w:eastAsia="zh-CN"/>
              </w:rPr>
              <w:t>0</w:t>
            </w: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lang w:val="en-US" w:eastAsia="zh-CN"/>
              </w:rPr>
              <w:t>0</w:t>
            </w:r>
            <w:r>
              <w:rPr>
                <w:rFonts w:hint="eastAsia" w:ascii="宋体" w:hAnsi="宋体" w:cs="宋体"/>
                <w:color w:val="000000"/>
                <w:szCs w:val="21"/>
              </w:rPr>
              <w:t>分。</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240" w:lineRule="auto"/>
              <w:jc w:val="center"/>
              <w:rPr>
                <w:rFonts w:ascii="宋体" w:hAnsi="宋体" w:cs="宋体"/>
                <w:color w:val="000000"/>
                <w:szCs w:val="21"/>
              </w:rPr>
            </w:pPr>
          </w:p>
        </w:tc>
        <w:tc>
          <w:tcPr>
            <w:tcW w:w="1134" w:type="dxa"/>
            <w:vMerge w:val="continue"/>
            <w:noWrap w:val="0"/>
            <w:vAlign w:val="center"/>
          </w:tcPr>
          <w:p>
            <w:pPr>
              <w:spacing w:line="240" w:lineRule="auto"/>
              <w:jc w:val="center"/>
              <w:rPr>
                <w:rFonts w:ascii="宋体" w:hAnsi="宋体" w:cs="宋体"/>
                <w:color w:val="000000"/>
                <w:szCs w:val="21"/>
              </w:rPr>
            </w:pPr>
          </w:p>
        </w:tc>
        <w:tc>
          <w:tcPr>
            <w:tcW w:w="1276" w:type="dxa"/>
            <w:noWrap w:val="0"/>
            <w:vAlign w:val="center"/>
          </w:tcPr>
          <w:p>
            <w:pPr>
              <w:spacing w:line="240" w:lineRule="auto"/>
              <w:jc w:val="center"/>
            </w:pPr>
            <w:r>
              <w:rPr>
                <w:rFonts w:ascii="宋体" w:hAnsi="宋体" w:cs="宋体"/>
                <w:lang w:val="zh-TW" w:eastAsia="zh-TW"/>
              </w:rPr>
              <w:t>性能及品质</w:t>
            </w:r>
          </w:p>
          <w:p>
            <w:pPr>
              <w:spacing w:line="240" w:lineRule="auto"/>
              <w:jc w:val="center"/>
              <w:rPr>
                <w:rFonts w:ascii="Times New Roman" w:hAnsi="Times New Roman" w:eastAsia="宋体" w:cs="Times New Roman"/>
                <w:kern w:val="2"/>
                <w:sz w:val="21"/>
                <w:szCs w:val="22"/>
                <w:lang w:val="en-US" w:eastAsia="zh-CN" w:bidi="ar-SA"/>
              </w:rPr>
            </w:pPr>
            <w:r>
              <w:rPr>
                <w:rFonts w:hint="eastAsia"/>
                <w:lang w:eastAsia="zh-CN"/>
              </w:rPr>
              <w:t>（</w:t>
            </w:r>
            <w:r>
              <w:rPr>
                <w:rFonts w:hint="eastAsia"/>
                <w:lang w:val="en-US" w:eastAsia="zh-CN"/>
              </w:rPr>
              <w:t>8</w:t>
            </w:r>
            <w:r>
              <w:rPr>
                <w:rFonts w:hint="eastAsia"/>
                <w:lang w:eastAsia="zh-CN"/>
              </w:rPr>
              <w:t>）</w:t>
            </w:r>
          </w:p>
        </w:tc>
        <w:tc>
          <w:tcPr>
            <w:tcW w:w="5937" w:type="dxa"/>
            <w:noWrap w:val="0"/>
            <w:vAlign w:val="center"/>
          </w:tcPr>
          <w:p>
            <w:pPr>
              <w:spacing w:line="240" w:lineRule="auto"/>
              <w:rPr>
                <w:rFonts w:ascii="Times New Roman" w:hAnsi="Times New Roman" w:eastAsia="宋体" w:cs="Times New Roman"/>
                <w:kern w:val="2"/>
                <w:sz w:val="21"/>
                <w:szCs w:val="22"/>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zh-TW"/>
              </w:rPr>
              <w:t>7</w:t>
            </w:r>
            <w:r>
              <w:rPr>
                <w:color w:val="000000"/>
              </w:rPr>
              <w:t>~</w:t>
            </w:r>
            <w:r>
              <w:rPr>
                <w:rFonts w:hint="eastAsia" w:ascii="宋体" w:hAnsi="宋体" w:cs="宋体"/>
                <w:lang w:val="en-US" w:eastAsia="zh-CN"/>
              </w:rPr>
              <w:t>8</w:t>
            </w:r>
            <w:r>
              <w:rPr>
                <w:rFonts w:hint="eastAsia" w:ascii="宋体" w:hAnsi="宋体" w:cs="宋体"/>
                <w:lang w:val="zh-TW" w:eastAsia="zh-TW"/>
              </w:rPr>
              <w:t>分；评价较好得</w:t>
            </w:r>
            <w:r>
              <w:rPr>
                <w:rFonts w:hint="eastAsia" w:ascii="宋体" w:hAnsi="宋体" w:cs="宋体"/>
                <w:lang w:val="zh-TW"/>
              </w:rPr>
              <w:t>4</w:t>
            </w:r>
            <w:r>
              <w:rPr>
                <w:color w:val="000000"/>
              </w:rPr>
              <w:t>~</w:t>
            </w:r>
            <w:r>
              <w:rPr>
                <w:rFonts w:hint="eastAsia" w:ascii="宋体" w:hAnsi="宋体" w:cs="宋体"/>
                <w:lang w:val="zh-TW"/>
              </w:rPr>
              <w:t>6</w:t>
            </w:r>
            <w:r>
              <w:rPr>
                <w:rFonts w:ascii="宋体" w:hAnsi="宋体" w:cs="宋体"/>
                <w:lang w:val="zh-TW" w:eastAsia="zh-TW"/>
              </w:rPr>
              <w:t>分；评价一般得</w:t>
            </w:r>
            <w:r>
              <w:rPr>
                <w:rFonts w:hint="eastAsia" w:ascii="宋体" w:hAnsi="宋体" w:cs="宋体"/>
                <w:lang w:val="zh-TW"/>
              </w:rPr>
              <w:t>1</w:t>
            </w:r>
            <w:r>
              <w:rPr>
                <w:color w:val="000000"/>
              </w:rPr>
              <w:t>~</w:t>
            </w:r>
            <w:r>
              <w:rPr>
                <w:rFonts w:hint="eastAsia" w:ascii="宋体" w:hAnsi="宋体" w:cs="宋体"/>
                <w:color w:val="000000"/>
                <w:lang w:val="zh-TW"/>
              </w:rPr>
              <w:t>3</w:t>
            </w:r>
            <w:r>
              <w:rPr>
                <w:rFonts w:ascii="宋体" w:hAnsi="宋体" w:cs="宋体"/>
                <w:color w:val="000000"/>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240" w:lineRule="auto"/>
              <w:jc w:val="center"/>
              <w:rPr>
                <w:rFonts w:ascii="宋体" w:hAnsi="宋体" w:cs="宋体"/>
                <w:color w:val="000000"/>
                <w:szCs w:val="21"/>
              </w:rPr>
            </w:pPr>
          </w:p>
        </w:tc>
        <w:tc>
          <w:tcPr>
            <w:tcW w:w="1134" w:type="dxa"/>
            <w:vMerge w:val="continue"/>
            <w:noWrap w:val="0"/>
            <w:vAlign w:val="top"/>
          </w:tcPr>
          <w:p>
            <w:pPr>
              <w:spacing w:line="240" w:lineRule="auto"/>
              <w:jc w:val="center"/>
              <w:rPr>
                <w:rFonts w:ascii="宋体" w:hAnsi="宋体" w:cs="宋体"/>
                <w:color w:val="000000"/>
                <w:szCs w:val="21"/>
              </w:rPr>
            </w:pPr>
          </w:p>
        </w:tc>
        <w:tc>
          <w:tcPr>
            <w:tcW w:w="1276" w:type="dxa"/>
            <w:noWrap w:val="0"/>
            <w:vAlign w:val="center"/>
          </w:tcPr>
          <w:p>
            <w:pPr>
              <w:spacing w:line="240" w:lineRule="auto"/>
              <w:jc w:val="center"/>
              <w:rPr>
                <w:rFonts w:hint="eastAsia" w:ascii="宋体" w:hAnsi="宋体" w:eastAsia="宋体" w:cs="宋体"/>
                <w:color w:val="000000"/>
                <w:szCs w:val="21"/>
                <w:lang w:eastAsia="zh-CN"/>
              </w:rPr>
            </w:pPr>
            <w:r>
              <w:rPr>
                <w:rFonts w:hint="eastAsia" w:ascii="宋体" w:hAnsi="宋体" w:cs="宋体"/>
                <w:color w:val="000000"/>
                <w:szCs w:val="21"/>
              </w:rPr>
              <w:t>项目实施</w:t>
            </w:r>
          </w:p>
          <w:p>
            <w:pPr>
              <w:spacing w:line="24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spacing w:line="240" w:lineRule="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提供针对本项目的详细实施方案，包括系统建设计划、系统</w:t>
            </w:r>
            <w:r>
              <w:rPr>
                <w:rFonts w:hint="eastAsia" w:ascii="宋体" w:hAnsi="宋体" w:cs="宋体"/>
                <w:color w:val="000000"/>
                <w:szCs w:val="21"/>
                <w:lang w:val="en-US" w:eastAsia="zh-CN"/>
              </w:rPr>
              <w:t>对接</w:t>
            </w:r>
            <w:r>
              <w:rPr>
                <w:rFonts w:hint="eastAsia" w:ascii="宋体" w:hAnsi="宋体" w:cs="宋体"/>
                <w:color w:val="000000"/>
                <w:szCs w:val="21"/>
              </w:rPr>
              <w:t>等，各投标人横向对比，优得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rPr>
              <w:t>3</w:t>
            </w:r>
            <w:r>
              <w:rPr>
                <w:rFonts w:ascii="宋体" w:hAnsi="宋体" w:cs="宋体"/>
                <w:color w:val="000000"/>
                <w:szCs w:val="21"/>
              </w:rPr>
              <w:t>-</w:t>
            </w:r>
            <w:r>
              <w:rPr>
                <w:rFonts w:hint="eastAsia" w:ascii="宋体" w:hAnsi="宋体" w:cs="宋体"/>
                <w:color w:val="000000"/>
                <w:szCs w:val="21"/>
                <w:lang w:val="en-US" w:eastAsia="zh-CN"/>
              </w:rPr>
              <w:t>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rPr>
              <w:t>2</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9" w:type="dxa"/>
            <w:vMerge w:val="restart"/>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投标人综合实力</w:t>
            </w:r>
          </w:p>
          <w:p>
            <w:pPr>
              <w:spacing w:line="240" w:lineRule="auto"/>
              <w:jc w:val="center"/>
              <w:rPr>
                <w:rFonts w:ascii="宋体" w:hAnsi="宋体" w:cs="宋体"/>
                <w:color w:val="000000"/>
                <w:szCs w:val="21"/>
              </w:rPr>
            </w:pPr>
          </w:p>
        </w:tc>
        <w:tc>
          <w:tcPr>
            <w:tcW w:w="1134" w:type="dxa"/>
            <w:vMerge w:val="restart"/>
            <w:noWrap w:val="0"/>
            <w:vAlign w:val="center"/>
          </w:tcPr>
          <w:p>
            <w:pPr>
              <w:spacing w:line="240" w:lineRule="auto"/>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0</w:t>
            </w:r>
          </w:p>
        </w:tc>
        <w:tc>
          <w:tcPr>
            <w:tcW w:w="1276" w:type="dxa"/>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企业资质</w:t>
            </w:r>
          </w:p>
          <w:p>
            <w:pPr>
              <w:spacing w:line="240" w:lineRule="auto"/>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p>
        </w:tc>
        <w:tc>
          <w:tcPr>
            <w:tcW w:w="5937" w:type="dxa"/>
            <w:noWrap w:val="0"/>
            <w:vAlign w:val="center"/>
          </w:tcPr>
          <w:p>
            <w:pPr>
              <w:spacing w:line="240" w:lineRule="auto"/>
              <w:rPr>
                <w:rFonts w:ascii="宋体" w:hAnsi="宋体" w:cs="宋体"/>
                <w:color w:val="000000"/>
                <w:szCs w:val="21"/>
              </w:rPr>
            </w:pPr>
            <w:r>
              <w:rPr>
                <w:rFonts w:hint="eastAsia" w:ascii="宋体" w:hAnsi="宋体" w:cs="宋体"/>
                <w:color w:val="auto"/>
                <w:szCs w:val="21"/>
              </w:rPr>
              <w:t>根据投标人综合实力进行横向比较</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129" w:type="dxa"/>
            <w:vMerge w:val="continue"/>
            <w:noWrap w:val="0"/>
            <w:vAlign w:val="center"/>
          </w:tcPr>
          <w:p>
            <w:pPr>
              <w:spacing w:line="240" w:lineRule="auto"/>
              <w:jc w:val="center"/>
              <w:rPr>
                <w:rFonts w:ascii="宋体" w:hAnsi="宋体" w:cs="宋体"/>
                <w:color w:val="000000"/>
                <w:szCs w:val="21"/>
              </w:rPr>
            </w:pPr>
          </w:p>
        </w:tc>
        <w:tc>
          <w:tcPr>
            <w:tcW w:w="1134" w:type="dxa"/>
            <w:vMerge w:val="continue"/>
            <w:noWrap w:val="0"/>
            <w:vAlign w:val="top"/>
          </w:tcPr>
          <w:p>
            <w:pPr>
              <w:spacing w:line="240" w:lineRule="auto"/>
              <w:jc w:val="center"/>
              <w:rPr>
                <w:rFonts w:ascii="宋体" w:hAnsi="宋体" w:cs="宋体"/>
                <w:color w:val="000000"/>
                <w:szCs w:val="21"/>
              </w:rPr>
            </w:pPr>
          </w:p>
        </w:tc>
        <w:tc>
          <w:tcPr>
            <w:tcW w:w="1276" w:type="dxa"/>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人员资质</w:t>
            </w:r>
          </w:p>
          <w:p>
            <w:pPr>
              <w:spacing w:line="240" w:lineRule="auto"/>
              <w:jc w:val="center"/>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adjustRightInd w:val="0"/>
              <w:spacing w:line="240" w:lineRule="auto"/>
              <w:jc w:val="left"/>
              <w:textAlignment w:val="baseline"/>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9" w:type="dxa"/>
            <w:vMerge w:val="continue"/>
            <w:noWrap w:val="0"/>
            <w:vAlign w:val="center"/>
          </w:tcPr>
          <w:p>
            <w:pPr>
              <w:spacing w:line="240" w:lineRule="auto"/>
              <w:jc w:val="center"/>
              <w:rPr>
                <w:rFonts w:ascii="宋体" w:hAnsi="宋体" w:cs="宋体"/>
                <w:color w:val="000000"/>
                <w:szCs w:val="21"/>
              </w:rPr>
            </w:pPr>
          </w:p>
        </w:tc>
        <w:tc>
          <w:tcPr>
            <w:tcW w:w="1134" w:type="dxa"/>
            <w:vMerge w:val="continue"/>
            <w:noWrap w:val="0"/>
            <w:vAlign w:val="top"/>
          </w:tcPr>
          <w:p>
            <w:pPr>
              <w:spacing w:line="240" w:lineRule="auto"/>
              <w:jc w:val="center"/>
              <w:rPr>
                <w:rFonts w:ascii="宋体" w:hAnsi="宋体" w:cs="宋体"/>
                <w:color w:val="000000"/>
                <w:szCs w:val="21"/>
              </w:rPr>
            </w:pPr>
          </w:p>
        </w:tc>
        <w:tc>
          <w:tcPr>
            <w:tcW w:w="1276" w:type="dxa"/>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业绩案例</w:t>
            </w:r>
          </w:p>
          <w:p>
            <w:pPr>
              <w:spacing w:line="240" w:lineRule="auto"/>
              <w:jc w:val="center"/>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spacing w:line="240" w:lineRule="auto"/>
              <w:rPr>
                <w:color w:val="000000"/>
                <w:szCs w:val="21"/>
              </w:rPr>
            </w:pPr>
            <w:r>
              <w:rPr>
                <w:rFonts w:hint="eastAsia"/>
                <w:color w:val="000000"/>
                <w:szCs w:val="21"/>
              </w:rPr>
              <w:t>投标人</w:t>
            </w:r>
            <w:r>
              <w:rPr>
                <w:rFonts w:hint="eastAsia"/>
                <w:color w:val="000000"/>
                <w:szCs w:val="21"/>
                <w:lang w:eastAsia="zh-CN"/>
              </w:rPr>
              <w:t>（</w:t>
            </w:r>
            <w:r>
              <w:rPr>
                <w:rFonts w:hint="eastAsia"/>
                <w:color w:val="000000"/>
                <w:szCs w:val="21"/>
                <w:lang w:val="en-US" w:eastAsia="zh-CN"/>
              </w:rPr>
              <w:t>厂家</w:t>
            </w:r>
            <w:r>
              <w:rPr>
                <w:rFonts w:hint="eastAsia"/>
                <w:color w:val="000000"/>
                <w:szCs w:val="21"/>
                <w:lang w:eastAsia="zh-CN"/>
              </w:rPr>
              <w:t>）</w:t>
            </w:r>
            <w:r>
              <w:rPr>
                <w:rFonts w:hint="eastAsia"/>
                <w:color w:val="000000"/>
                <w:szCs w:val="21"/>
              </w:rPr>
              <w:t>近三年与本项目中设备相类似的业绩案例，每份得2分，最多6分。</w:t>
            </w:r>
          </w:p>
          <w:p>
            <w:pPr>
              <w:spacing w:line="240" w:lineRule="auto"/>
              <w:rPr>
                <w:color w:val="000000"/>
                <w:szCs w:val="21"/>
              </w:rPr>
            </w:pPr>
            <w:r>
              <w:rPr>
                <w:rFonts w:hint="eastAsia" w:ascii="仿宋" w:hAnsi="仿宋" w:eastAsia="仿宋"/>
                <w:color w:val="000000"/>
                <w:sz w:val="24"/>
              </w:rPr>
              <w:t>（</w:t>
            </w:r>
            <w:r>
              <w:rPr>
                <w:rFonts w:hint="eastAsia"/>
                <w:color w:val="000000"/>
                <w:szCs w:val="21"/>
              </w:rPr>
              <w:t>提供合同复印件、合同中</w:t>
            </w:r>
            <w:r>
              <w:rPr>
                <w:rFonts w:hint="eastAsia"/>
                <w:color w:val="FF0000"/>
                <w:szCs w:val="21"/>
              </w:rPr>
              <w:t>不得隐去任何内容，</w:t>
            </w:r>
            <w:r>
              <w:rPr>
                <w:rFonts w:hint="eastAsia"/>
                <w:color w:val="FF0000"/>
                <w:szCs w:val="21"/>
                <w:lang w:val="en-US" w:eastAsia="zh-CN"/>
              </w:rPr>
              <w:t>否则无效</w:t>
            </w:r>
            <w:r>
              <w:rPr>
                <w:rFonts w:hint="eastAsia"/>
                <w:color w:val="000000"/>
                <w:szCs w:val="21"/>
                <w:lang w:val="en-US"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129" w:type="dxa"/>
            <w:vMerge w:val="restart"/>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w:t>
            </w:r>
          </w:p>
        </w:tc>
        <w:tc>
          <w:tcPr>
            <w:tcW w:w="1276" w:type="dxa"/>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售后服务</w:t>
            </w:r>
          </w:p>
          <w:p>
            <w:pPr>
              <w:spacing w:line="240" w:lineRule="auto"/>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w:t>
            </w:r>
          </w:p>
        </w:tc>
        <w:tc>
          <w:tcPr>
            <w:tcW w:w="5937" w:type="dxa"/>
            <w:noWrap w:val="0"/>
            <w:vAlign w:val="center"/>
          </w:tcPr>
          <w:p>
            <w:pPr>
              <w:spacing w:line="240" w:lineRule="auto"/>
              <w:rPr>
                <w:rFonts w:ascii="宋体" w:hAnsi="宋体" w:cs="宋体"/>
                <w:color w:val="000000"/>
                <w:szCs w:val="21"/>
              </w:rPr>
            </w:pPr>
            <w:r>
              <w:rPr>
                <w:rFonts w:hint="eastAsia" w:ascii="宋体" w:hAnsi="宋体" w:cs="宋体"/>
                <w:color w:val="000000"/>
                <w:szCs w:val="21"/>
              </w:rPr>
              <w:t>根据售后服务方案、本地化服务能力、故障响应时间等，各投标人横向对比，优得</w:t>
            </w:r>
            <w:r>
              <w:rPr>
                <w:rFonts w:hint="eastAsia" w:ascii="宋体" w:hAnsi="宋体" w:cs="宋体"/>
                <w:color w:val="000000"/>
                <w:szCs w:val="21"/>
                <w:lang w:val="en-US" w:eastAsia="zh-CN"/>
              </w:rPr>
              <w:t>5</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lang w:val="en-US" w:eastAsia="zh-CN"/>
              </w:rPr>
              <w:t>2</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29" w:type="dxa"/>
            <w:vMerge w:val="continue"/>
            <w:noWrap w:val="0"/>
            <w:vAlign w:val="center"/>
          </w:tcPr>
          <w:p>
            <w:pPr>
              <w:spacing w:line="240" w:lineRule="auto"/>
              <w:jc w:val="center"/>
              <w:rPr>
                <w:rFonts w:ascii="宋体" w:hAnsi="宋体" w:cs="宋体"/>
                <w:color w:val="000000"/>
                <w:szCs w:val="21"/>
              </w:rPr>
            </w:pPr>
          </w:p>
        </w:tc>
        <w:tc>
          <w:tcPr>
            <w:tcW w:w="1134" w:type="dxa"/>
            <w:vMerge w:val="continue"/>
            <w:noWrap w:val="0"/>
            <w:vAlign w:val="top"/>
          </w:tcPr>
          <w:p>
            <w:pPr>
              <w:spacing w:line="240" w:lineRule="auto"/>
              <w:jc w:val="center"/>
              <w:rPr>
                <w:rFonts w:ascii="宋体" w:hAnsi="宋体" w:cs="宋体"/>
                <w:color w:val="000000"/>
                <w:szCs w:val="21"/>
              </w:rPr>
            </w:pPr>
          </w:p>
        </w:tc>
        <w:tc>
          <w:tcPr>
            <w:tcW w:w="1276" w:type="dxa"/>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质保期</w:t>
            </w:r>
          </w:p>
          <w:p>
            <w:pPr>
              <w:spacing w:line="240" w:lineRule="auto"/>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p>
        </w:tc>
        <w:tc>
          <w:tcPr>
            <w:tcW w:w="5937" w:type="dxa"/>
            <w:noWrap w:val="0"/>
            <w:vAlign w:val="center"/>
          </w:tcPr>
          <w:p>
            <w:pPr>
              <w:spacing w:line="240" w:lineRule="auto"/>
              <w:rPr>
                <w:rFonts w:ascii="宋体" w:hAnsi="宋体" w:cs="宋体"/>
                <w:color w:val="auto"/>
                <w:szCs w:val="21"/>
              </w:rPr>
            </w:pPr>
            <w:r>
              <w:rPr>
                <w:rFonts w:hint="eastAsia"/>
                <w:color w:val="auto"/>
                <w:szCs w:val="21"/>
              </w:rPr>
              <w:t>满足招标文件原厂质保</w:t>
            </w:r>
            <w:r>
              <w:rPr>
                <w:rFonts w:hint="eastAsia"/>
                <w:color w:val="auto"/>
                <w:szCs w:val="21"/>
                <w:lang w:val="en-US" w:eastAsia="zh-CN"/>
              </w:rPr>
              <w:t>三</w:t>
            </w:r>
            <w:r>
              <w:rPr>
                <w:rFonts w:hint="eastAsia"/>
                <w:color w:val="auto"/>
                <w:szCs w:val="21"/>
              </w:rPr>
              <w:t>年的基础上，所有设备同时每延长一年加</w:t>
            </w:r>
            <w:r>
              <w:rPr>
                <w:rFonts w:hint="eastAsia" w:ascii="宋体" w:hAnsi="宋体" w:cs="宋体"/>
                <w:color w:val="auto"/>
                <w:szCs w:val="21"/>
              </w:rPr>
              <w:t>1分，最多加</w:t>
            </w:r>
            <w:r>
              <w:rPr>
                <w:rFonts w:hint="eastAsia" w:ascii="宋体" w:hAnsi="宋体" w:cs="宋体"/>
                <w:color w:val="auto"/>
                <w:szCs w:val="21"/>
                <w:lang w:val="en-US" w:eastAsia="zh-CN"/>
              </w:rPr>
              <w:t>2</w:t>
            </w:r>
            <w:r>
              <w:rPr>
                <w:rFonts w:hint="eastAsia" w:ascii="宋体" w:hAnsi="宋体" w:cs="宋体"/>
                <w:color w:val="auto"/>
                <w:szCs w:val="21"/>
              </w:rPr>
              <w:t>分。</w:t>
            </w:r>
            <w:r>
              <w:rPr>
                <w:rFonts w:hint="eastAsia" w:ascii="宋体" w:hAnsi="宋体" w:cs="宋体"/>
                <w:color w:val="auto"/>
                <w:szCs w:val="21"/>
                <w:lang w:val="en-US" w:eastAsia="zh-CN"/>
              </w:rPr>
              <w:t>需提供</w:t>
            </w:r>
            <w:r>
              <w:rPr>
                <w:rFonts w:hint="eastAsia" w:ascii="宋体" w:hAnsi="宋体" w:cs="宋体"/>
                <w:color w:val="FF0000"/>
                <w:szCs w:val="21"/>
                <w:lang w:val="en-US" w:eastAsia="zh-CN"/>
              </w:rPr>
              <w:t>原厂质保函原件</w:t>
            </w:r>
            <w:r>
              <w:rPr>
                <w:rFonts w:hint="eastAsia" w:ascii="宋体" w:hAnsi="宋体" w:cs="宋体"/>
                <w:color w:val="auto"/>
                <w:szCs w:val="21"/>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widowControl/>
              <w:spacing w:line="240" w:lineRule="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9" w:type="dxa"/>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24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240" w:lineRule="auto"/>
              <w:rPr>
                <w:color w:val="000000"/>
              </w:rPr>
            </w:pPr>
            <w:r>
              <w:rPr>
                <w:rFonts w:hint="eastAsia"/>
                <w:color w:val="000000"/>
                <w:szCs w:val="21"/>
              </w:rPr>
              <w:t>投标人最后得分保留两位小数</w:t>
            </w:r>
          </w:p>
        </w:tc>
      </w:tr>
      <w:bookmarkEnd w:id="0"/>
    </w:tbl>
    <w:p>
      <w:pPr>
        <w:spacing w:line="360" w:lineRule="auto"/>
        <w:jc w:val="center"/>
        <w:rPr>
          <w:rFonts w:hint="eastAsia" w:ascii="宋体" w:hAnsi="宋体"/>
          <w:b/>
          <w:bCs/>
          <w:sz w:val="44"/>
          <w:szCs w:val="44"/>
        </w:rPr>
      </w:pPr>
      <w:r>
        <w:rPr>
          <w:rFonts w:hint="eastAsia" w:ascii="宋体" w:hAnsi="宋体"/>
          <w:b/>
          <w:bCs/>
          <w:sz w:val="44"/>
          <w:szCs w:val="44"/>
        </w:rPr>
        <w:t>第</w:t>
      </w:r>
      <w:r>
        <w:rPr>
          <w:rFonts w:hint="eastAsia" w:ascii="宋体" w:hAnsi="宋体"/>
          <w:b/>
          <w:bCs/>
          <w:sz w:val="44"/>
          <w:szCs w:val="44"/>
          <w:lang w:val="en-US" w:eastAsia="zh-CN"/>
        </w:rPr>
        <w:t>三</w:t>
      </w:r>
      <w:r>
        <w:rPr>
          <w:rFonts w:hint="eastAsia" w:ascii="宋体" w:hAnsi="宋体"/>
          <w:b/>
          <w:bCs/>
          <w:sz w:val="44"/>
          <w:szCs w:val="44"/>
        </w:rPr>
        <w:t>部分  合同相关要求</w:t>
      </w:r>
    </w:p>
    <w:p>
      <w:pPr>
        <w:ind w:left="424" w:leftChars="202"/>
        <w:rPr>
          <w:rFonts w:hint="eastAsia" w:ascii="仿宋_GB2312" w:hAnsi="宋体" w:eastAsia="仿宋_GB2312"/>
          <w:sz w:val="28"/>
          <w:szCs w:val="28"/>
        </w:rPr>
      </w:pPr>
    </w:p>
    <w:p>
      <w:pPr>
        <w:spacing w:line="360" w:lineRule="exact"/>
        <w:ind w:left="422" w:leftChars="201" w:firstLine="480" w:firstLineChars="200"/>
        <w:rPr>
          <w:rFonts w:hint="eastAsia" w:ascii="宋体" w:hAnsi="宋体"/>
          <w:sz w:val="24"/>
          <w:szCs w:val="24"/>
        </w:rPr>
      </w:pPr>
      <w:r>
        <w:rPr>
          <w:rFonts w:hint="eastAsia" w:ascii="宋体" w:hAnsi="宋体"/>
          <w:sz w:val="24"/>
          <w:szCs w:val="24"/>
          <w:lang w:val="en-GB"/>
        </w:rPr>
        <w:t>1．</w:t>
      </w:r>
      <w:r>
        <w:rPr>
          <w:rFonts w:hint="eastAsia" w:ascii="宋体" w:hAnsi="宋体"/>
          <w:b/>
          <w:bCs/>
          <w:sz w:val="24"/>
          <w:szCs w:val="24"/>
        </w:rPr>
        <w:t>招标人对中标候选人提供的业绩进行抽查核实，确认无误后签订采购合同</w:t>
      </w:r>
      <w:r>
        <w:rPr>
          <w:rFonts w:hint="eastAsia" w:ascii="宋体" w:hAnsi="宋体"/>
          <w:sz w:val="24"/>
          <w:szCs w:val="24"/>
        </w:rPr>
        <w:t>。中标人</w:t>
      </w:r>
      <w:r>
        <w:rPr>
          <w:rFonts w:hint="eastAsia" w:ascii="宋体" w:hAnsi="宋体"/>
          <w:sz w:val="24"/>
          <w:szCs w:val="24"/>
          <w:lang w:val="en-GB"/>
        </w:rPr>
        <w:t>所签合同不得对招标文件作实质性修改。否则投标保证金将不予退还，由此给招标人造成损失的，中标人还应承担赔偿责任。</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2．</w:t>
      </w:r>
      <w:r>
        <w:rPr>
          <w:rFonts w:hint="eastAsia" w:ascii="宋体" w:hAnsi="宋体"/>
          <w:sz w:val="24"/>
          <w:szCs w:val="24"/>
        </w:rPr>
        <w:t>采购招标文件</w:t>
      </w:r>
      <w:r>
        <w:rPr>
          <w:rFonts w:hint="eastAsia" w:ascii="宋体" w:hAnsi="宋体"/>
          <w:sz w:val="24"/>
          <w:szCs w:val="24"/>
          <w:lang w:val="en-GB"/>
        </w:rPr>
        <w:t>、</w:t>
      </w:r>
      <w:r>
        <w:rPr>
          <w:rFonts w:hint="eastAsia" w:ascii="宋体" w:hAnsi="宋体"/>
          <w:sz w:val="24"/>
          <w:szCs w:val="24"/>
        </w:rPr>
        <w:t>中标人</w:t>
      </w:r>
      <w:r>
        <w:rPr>
          <w:rFonts w:hint="eastAsia" w:ascii="宋体" w:hAnsi="宋体"/>
          <w:sz w:val="24"/>
          <w:szCs w:val="24"/>
          <w:lang w:val="en-GB"/>
        </w:rPr>
        <w:t>的投标文件及投标过程中有关书面澄清、承诺等均应作为合同附件，具有同等的法律效力。</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3.</w:t>
      </w:r>
      <w:r>
        <w:rPr>
          <w:rFonts w:hint="eastAsia" w:ascii="宋体" w:hAnsi="宋体"/>
          <w:sz w:val="24"/>
          <w:szCs w:val="24"/>
        </w:rPr>
        <w:t>中标人</w:t>
      </w:r>
      <w:r>
        <w:rPr>
          <w:rFonts w:hint="eastAsia" w:ascii="宋体" w:hAnsi="宋体"/>
          <w:sz w:val="24"/>
          <w:szCs w:val="24"/>
          <w:lang w:val="en-GB"/>
        </w:rPr>
        <w:t>不得采用分包的形式履行合同，否则招标人有权终止合同，造成招标人损失的，</w:t>
      </w:r>
      <w:r>
        <w:rPr>
          <w:rFonts w:hint="eastAsia" w:ascii="宋体" w:hAnsi="宋体"/>
          <w:sz w:val="24"/>
          <w:szCs w:val="24"/>
        </w:rPr>
        <w:t>中标人</w:t>
      </w:r>
      <w:r>
        <w:rPr>
          <w:rFonts w:hint="eastAsia" w:ascii="宋体" w:hAnsi="宋体"/>
          <w:sz w:val="24"/>
          <w:szCs w:val="24"/>
          <w:lang w:val="en-GB"/>
        </w:rPr>
        <w:t>应承担相应赔偿责任。</w:t>
      </w:r>
      <w:r>
        <w:rPr>
          <w:rFonts w:hint="eastAsia" w:ascii="宋体" w:hAnsi="宋体"/>
          <w:sz w:val="24"/>
          <w:szCs w:val="24"/>
        </w:rPr>
        <w:t>中标人</w:t>
      </w:r>
      <w:r>
        <w:rPr>
          <w:rFonts w:hint="eastAsia" w:ascii="宋体" w:hAnsi="宋体"/>
          <w:sz w:val="24"/>
          <w:szCs w:val="24"/>
          <w:lang w:val="en-GB"/>
        </w:rPr>
        <w:t>出现违约情形，应当及时纠正或补偿；造成损失的，按合同约定追究违约责任；发现有假冒、伪劣、走私产品、商业贿赂等违法情形的，应由招标单位移交工商、质监、公安等行政执法部门依法查处。中标人不能及时供货的，按《</w:t>
      </w:r>
      <w:r>
        <w:rPr>
          <w:rFonts w:hint="eastAsia" w:ascii="宋体" w:hAnsi="宋体"/>
          <w:sz w:val="24"/>
          <w:szCs w:val="24"/>
          <w:lang w:val="en-US" w:eastAsia="zh-CN"/>
        </w:rPr>
        <w:t>民法典</w:t>
      </w:r>
      <w:r>
        <w:rPr>
          <w:rFonts w:hint="eastAsia" w:ascii="宋体" w:hAnsi="宋体"/>
          <w:sz w:val="24"/>
          <w:szCs w:val="24"/>
          <w:lang w:val="en-GB"/>
        </w:rPr>
        <w:t>》规定处理，同时扣除相应合同履约金。另外，将视具体情况，</w:t>
      </w:r>
      <w:r>
        <w:rPr>
          <w:rFonts w:hint="eastAsia" w:ascii="宋体" w:hAnsi="宋体"/>
          <w:sz w:val="24"/>
          <w:szCs w:val="24"/>
          <w:lang w:val="en-GB" w:eastAsia="zh-CN"/>
        </w:rPr>
        <w:t>限制</w:t>
      </w:r>
      <w:r>
        <w:rPr>
          <w:rFonts w:hint="eastAsia" w:ascii="宋体" w:hAnsi="宋体"/>
          <w:sz w:val="24"/>
          <w:szCs w:val="24"/>
          <w:lang w:val="en-GB"/>
        </w:rPr>
        <w:t>其参加在本校范围内6个月至3年的采购招投标活动。</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4.</w:t>
      </w:r>
      <w:r>
        <w:rPr>
          <w:rFonts w:hint="eastAsia" w:ascii="宋体" w:hAnsi="宋体"/>
          <w:sz w:val="24"/>
          <w:szCs w:val="24"/>
        </w:rPr>
        <w:t>中标人</w:t>
      </w:r>
      <w:r>
        <w:rPr>
          <w:rFonts w:hint="eastAsia" w:ascii="宋体" w:hAnsi="宋体"/>
          <w:sz w:val="24"/>
          <w:szCs w:val="24"/>
          <w:lang w:val="en-GB"/>
        </w:rPr>
        <w:t>如没有在合同规定的供货时限内交货并安装调试完成，招标人将向</w:t>
      </w:r>
      <w:r>
        <w:rPr>
          <w:rFonts w:hint="eastAsia" w:ascii="宋体" w:hAnsi="宋体"/>
          <w:sz w:val="24"/>
          <w:szCs w:val="24"/>
        </w:rPr>
        <w:t>中标人</w:t>
      </w:r>
      <w:r>
        <w:rPr>
          <w:rFonts w:hint="eastAsia" w:ascii="宋体" w:hAnsi="宋体"/>
          <w:sz w:val="24"/>
          <w:szCs w:val="24"/>
          <w:lang w:val="en-GB"/>
        </w:rPr>
        <w:t>发出书面违约通知并有权全部或部分终止合同，同时招标人由此造成的损失须由</w:t>
      </w:r>
      <w:r>
        <w:rPr>
          <w:rFonts w:hint="eastAsia" w:ascii="宋体" w:hAnsi="宋体"/>
          <w:sz w:val="24"/>
          <w:szCs w:val="24"/>
        </w:rPr>
        <w:t>中标人</w:t>
      </w:r>
      <w:r>
        <w:rPr>
          <w:rFonts w:hint="eastAsia" w:ascii="宋体" w:hAnsi="宋体"/>
          <w:sz w:val="24"/>
          <w:szCs w:val="24"/>
          <w:lang w:val="en-GB"/>
        </w:rPr>
        <w:t>负责赔偿。</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5.招标单位故意推迟项目验收时间的，与</w:t>
      </w:r>
      <w:r>
        <w:rPr>
          <w:rFonts w:hint="eastAsia" w:ascii="宋体" w:hAnsi="宋体"/>
          <w:sz w:val="24"/>
          <w:szCs w:val="24"/>
        </w:rPr>
        <w:t>中标人</w:t>
      </w:r>
      <w:r>
        <w:rPr>
          <w:rFonts w:hint="eastAsia" w:ascii="宋体" w:hAnsi="宋体"/>
          <w:sz w:val="24"/>
          <w:szCs w:val="24"/>
          <w:lang w:val="en-GB"/>
        </w:rPr>
        <w:t>串通或要求</w:t>
      </w:r>
      <w:r>
        <w:rPr>
          <w:rFonts w:hint="eastAsia" w:ascii="宋体" w:hAnsi="宋体"/>
          <w:sz w:val="24"/>
          <w:szCs w:val="24"/>
        </w:rPr>
        <w:t>中标人</w:t>
      </w:r>
      <w:r>
        <w:rPr>
          <w:rFonts w:hint="eastAsia" w:ascii="宋体" w:hAnsi="宋体"/>
          <w:sz w:val="24"/>
          <w:szCs w:val="24"/>
          <w:lang w:val="en-GB"/>
        </w:rPr>
        <w:t>通过减少货物数量或降低服务标准的，在履行合同中采取更改配置、调换物品等手段的，要求供应商出具虚假发票或任意更改销售发票的，谋取不正当利益的，承担相应的法律责任。</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rPr>
        <w:t>6</w:t>
      </w:r>
      <w:r>
        <w:rPr>
          <w:rFonts w:hint="eastAsia" w:ascii="宋体" w:hAnsi="宋体"/>
          <w:sz w:val="24"/>
          <w:szCs w:val="24"/>
          <w:lang w:val="en-GB"/>
        </w:rPr>
        <w:t>.本项目的详细合同内容《合同文本》另行商定。</w:t>
      </w:r>
    </w:p>
    <w:p>
      <w:pPr>
        <w:spacing w:before="100" w:after="100"/>
        <w:ind w:left="0" w:leftChars="0" w:firstLine="0" w:firstLineChars="0"/>
        <w:jc w:val="center"/>
        <w:rPr>
          <w:rFonts w:hint="eastAsia" w:ascii="宋体" w:hAnsi="宋体"/>
          <w:b/>
          <w:sz w:val="40"/>
          <w:szCs w:val="21"/>
        </w:rPr>
      </w:pPr>
    </w:p>
    <w:p>
      <w:pPr>
        <w:spacing w:before="100" w:after="100"/>
        <w:ind w:left="0" w:leftChars="0" w:firstLine="0" w:firstLineChars="0"/>
        <w:jc w:val="center"/>
        <w:rPr>
          <w:rFonts w:hint="eastAsia" w:ascii="宋体" w:hAnsi="宋体"/>
          <w:b/>
          <w:sz w:val="40"/>
          <w:szCs w:val="21"/>
        </w:rPr>
      </w:pPr>
    </w:p>
    <w:p>
      <w:pPr>
        <w:spacing w:before="100" w:after="100"/>
        <w:ind w:left="0" w:leftChars="0" w:firstLine="0" w:firstLineChars="0"/>
        <w:jc w:val="center"/>
        <w:rPr>
          <w:rFonts w:hint="eastAsia" w:ascii="宋体" w:hAnsi="宋体"/>
          <w:b/>
          <w:sz w:val="40"/>
          <w:szCs w:val="21"/>
        </w:rPr>
      </w:pPr>
    </w:p>
    <w:p>
      <w:pPr>
        <w:spacing w:before="100" w:after="100"/>
        <w:ind w:left="0" w:leftChars="0" w:firstLine="0" w:firstLineChars="0"/>
        <w:jc w:val="center"/>
        <w:rPr>
          <w:rFonts w:hint="eastAsia" w:ascii="宋体" w:hAnsi="宋体"/>
          <w:b/>
          <w:sz w:val="40"/>
          <w:szCs w:val="21"/>
        </w:rPr>
      </w:pPr>
    </w:p>
    <w:p>
      <w:pPr>
        <w:spacing w:before="100" w:after="100"/>
        <w:ind w:left="0" w:leftChars="0" w:firstLine="0" w:firstLineChars="0"/>
        <w:jc w:val="center"/>
        <w:rPr>
          <w:rFonts w:hint="eastAsia" w:ascii="宋体" w:hAnsi="宋体"/>
          <w:b/>
          <w:sz w:val="40"/>
          <w:szCs w:val="21"/>
        </w:rPr>
      </w:pPr>
    </w:p>
    <w:p>
      <w:pPr>
        <w:spacing w:before="100" w:after="100"/>
        <w:ind w:left="0" w:leftChars="0" w:firstLine="0" w:firstLineChars="0"/>
        <w:jc w:val="both"/>
        <w:rPr>
          <w:rFonts w:hint="eastAsia" w:ascii="宋体" w:hAnsi="宋体"/>
          <w:b/>
          <w:sz w:val="40"/>
          <w:szCs w:val="21"/>
        </w:rPr>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lang w:val="en-US" w:eastAsia="zh-CN"/>
        </w:rPr>
        <w:t>所有设备、线缆、辅材</w:t>
      </w:r>
      <w:r>
        <w:rPr>
          <w:rFonts w:hint="eastAsia" w:ascii="宋体" w:hAnsi="宋体"/>
          <w:color w:val="FF0000"/>
          <w:sz w:val="24"/>
          <w:szCs w:val="24"/>
        </w:rPr>
        <w:t>投标人</w:t>
      </w:r>
      <w:r>
        <w:rPr>
          <w:rFonts w:hint="eastAsia" w:ascii="宋体" w:hAnsi="宋体"/>
          <w:color w:val="FF0000"/>
          <w:sz w:val="24"/>
          <w:szCs w:val="24"/>
          <w:lang w:val="en-US" w:eastAsia="zh-CN"/>
        </w:rPr>
        <w:t>应该</w:t>
      </w:r>
      <w:r>
        <w:rPr>
          <w:rFonts w:hint="eastAsia" w:ascii="宋体" w:hAnsi="宋体"/>
          <w:color w:val="FF0000"/>
          <w:sz w:val="24"/>
          <w:szCs w:val="24"/>
        </w:rPr>
        <w:t>选用</w:t>
      </w:r>
      <w:r>
        <w:rPr>
          <w:rFonts w:hint="eastAsia" w:ascii="宋体" w:hAnsi="宋体"/>
          <w:color w:val="FF0000"/>
          <w:sz w:val="24"/>
          <w:szCs w:val="24"/>
          <w:lang w:val="en-US" w:eastAsia="zh-CN"/>
        </w:rPr>
        <w:t>市场主流一线品牌</w:t>
      </w:r>
      <w:r>
        <w:rPr>
          <w:rFonts w:hint="eastAsia" w:ascii="宋体" w:hAnsi="宋体"/>
          <w:color w:val="FF0000"/>
          <w:sz w:val="24"/>
          <w:szCs w:val="24"/>
        </w:rPr>
        <w:t>。</w:t>
      </w:r>
      <w:r>
        <w:rPr>
          <w:rFonts w:hint="eastAsia" w:ascii="宋体" w:hAnsi="宋体"/>
          <w:sz w:val="24"/>
          <w:szCs w:val="24"/>
        </w:rPr>
        <w:t>经半数以上评委认定，投标人所报品牌档次</w:t>
      </w:r>
      <w:r>
        <w:rPr>
          <w:rFonts w:hint="eastAsia" w:ascii="宋体" w:hAnsi="宋体"/>
          <w:sz w:val="24"/>
          <w:szCs w:val="24"/>
          <w:lang w:val="en-US" w:eastAsia="zh-CN"/>
        </w:rPr>
        <w:t>属于同一档次或国内一线品牌</w:t>
      </w:r>
      <w:r>
        <w:rPr>
          <w:rFonts w:hint="eastAsia" w:ascii="宋体" w:hAnsi="宋体"/>
          <w:sz w:val="24"/>
          <w:szCs w:val="24"/>
        </w:rPr>
        <w:t>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sz w:val="24"/>
          <w:szCs w:val="24"/>
        </w:rPr>
      </w:pPr>
      <w:r>
        <w:rPr>
          <w:rFonts w:hint="eastAsia" w:ascii="宋体" w:hAnsi="宋体"/>
          <w:sz w:val="24"/>
          <w:szCs w:val="24"/>
        </w:rPr>
        <w:t>施工期为签订合同</w:t>
      </w:r>
      <w:r>
        <w:rPr>
          <w:rFonts w:hint="eastAsia" w:ascii="宋体" w:hAnsi="宋体"/>
          <w:sz w:val="24"/>
          <w:szCs w:val="24"/>
          <w:lang w:val="en-US" w:eastAsia="zh-CN"/>
        </w:rPr>
        <w:t>后</w:t>
      </w:r>
      <w:r>
        <w:rPr>
          <w:rFonts w:hint="eastAsia" w:ascii="宋体" w:hAnsi="宋体"/>
          <w:sz w:val="24"/>
          <w:szCs w:val="24"/>
        </w:rPr>
        <w:t>，</w:t>
      </w:r>
      <w:r>
        <w:rPr>
          <w:rFonts w:hint="eastAsia" w:ascii="宋体" w:hAnsi="宋体"/>
          <w:sz w:val="24"/>
          <w:szCs w:val="24"/>
          <w:lang w:val="en-US" w:eastAsia="zh-CN"/>
        </w:rPr>
        <w:t>30天</w:t>
      </w:r>
      <w:r>
        <w:rPr>
          <w:rFonts w:hint="eastAsia" w:ascii="宋体" w:hAnsi="宋体"/>
          <w:sz w:val="24"/>
          <w:szCs w:val="24"/>
        </w:rPr>
        <w:t>完成系统安装和调试。中标人必须派出足够的人员到施工现场，确保工期按时完成。并提供详细的安装调试计划及保证措施。</w:t>
      </w:r>
    </w:p>
    <w:p>
      <w:pPr>
        <w:spacing w:before="100" w:after="100"/>
        <w:ind w:firstLine="480" w:firstLineChars="200"/>
        <w:rPr>
          <w:rFonts w:hint="eastAsia"/>
          <w:sz w:val="24"/>
          <w:szCs w:val="24"/>
        </w:rPr>
      </w:pPr>
      <w:r>
        <w:rPr>
          <w:rFonts w:hint="eastAsia" w:ascii="宋体" w:hAnsi="宋体"/>
          <w:sz w:val="24"/>
          <w:szCs w:val="24"/>
        </w:rPr>
        <w:t>按设计要求及国家相关标准规范组织验收。</w:t>
      </w:r>
      <w:r>
        <w:rPr>
          <w:rFonts w:hint="eastAsia" w:ascii="宋体" w:hAnsi="宋体"/>
          <w:color w:val="FF0000"/>
          <w:sz w:val="24"/>
          <w:szCs w:val="24"/>
          <w:lang w:eastAsia="zh-CN"/>
        </w:rPr>
        <w:t>工程完工后提供</w:t>
      </w:r>
      <w:r>
        <w:rPr>
          <w:rFonts w:hint="eastAsia" w:ascii="宋体" w:hAnsi="宋体"/>
          <w:color w:val="FF0000"/>
          <w:sz w:val="24"/>
          <w:szCs w:val="24"/>
          <w:lang w:val="en-US" w:eastAsia="zh-CN"/>
        </w:rPr>
        <w:t>设备</w:t>
      </w:r>
      <w:r>
        <w:rPr>
          <w:rFonts w:hint="eastAsia" w:ascii="宋体" w:hAnsi="宋体"/>
          <w:color w:val="FF0000"/>
          <w:sz w:val="24"/>
          <w:szCs w:val="24"/>
          <w:lang w:eastAsia="zh-CN"/>
        </w:rPr>
        <w:t>联通性和性能测试报告。</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eastAsia="宋体" w:cs="宋体"/>
          <w:color w:val="FF0000"/>
          <w:sz w:val="24"/>
          <w:szCs w:val="24"/>
        </w:rPr>
        <w:t>每年</w:t>
      </w:r>
      <w:r>
        <w:rPr>
          <w:rFonts w:hint="eastAsia" w:ascii="宋体" w:hAnsi="宋体" w:cs="宋体"/>
          <w:color w:val="FF0000"/>
          <w:sz w:val="24"/>
          <w:szCs w:val="24"/>
          <w:lang w:val="en-US" w:eastAsia="zh-CN"/>
        </w:rPr>
        <w:t>四</w:t>
      </w:r>
      <w:r>
        <w:rPr>
          <w:rFonts w:hint="eastAsia" w:ascii="宋体" w:hAnsi="宋体" w:eastAsia="宋体" w:cs="宋体"/>
          <w:color w:val="FF0000"/>
          <w:sz w:val="24"/>
          <w:szCs w:val="24"/>
        </w:rPr>
        <w:t>次</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每季度一次</w:t>
      </w:r>
      <w:r>
        <w:rPr>
          <w:rFonts w:hint="eastAsia" w:ascii="宋体" w:hAnsi="宋体" w:cs="宋体"/>
          <w:color w:val="FF0000"/>
          <w:sz w:val="24"/>
          <w:szCs w:val="24"/>
          <w:lang w:eastAsia="zh-CN"/>
        </w:rPr>
        <w:t>）</w:t>
      </w:r>
      <w:r>
        <w:rPr>
          <w:rFonts w:hint="eastAsia" w:ascii="宋体" w:hAnsi="宋体" w:eastAsia="宋体" w:cs="宋体"/>
          <w:sz w:val="24"/>
          <w:szCs w:val="24"/>
        </w:rPr>
        <w:t>的定期回访、维护。保修条款严格按国家规定/厂商规定（两者</w:t>
      </w:r>
      <w:r>
        <w:rPr>
          <w:rFonts w:hint="eastAsia" w:ascii="宋体" w:hAnsi="宋体" w:cs="宋体"/>
          <w:sz w:val="24"/>
          <w:szCs w:val="24"/>
          <w:lang w:eastAsia="zh-CN"/>
        </w:rPr>
        <w:t>最高</w:t>
      </w:r>
      <w:r>
        <w:rPr>
          <w:rFonts w:hint="eastAsia" w:ascii="宋体" w:hAnsi="宋体" w:eastAsia="宋体" w:cs="宋体"/>
          <w:sz w:val="24"/>
          <w:szCs w:val="24"/>
        </w:rPr>
        <w:t>标准为准）执行。</w:t>
      </w:r>
      <w:r>
        <w:rPr>
          <w:rFonts w:hint="eastAsia" w:ascii="宋体" w:hAnsi="宋体" w:cs="宋体"/>
          <w:sz w:val="24"/>
          <w:szCs w:val="24"/>
          <w:lang w:val="en-US" w:eastAsia="zh-CN"/>
        </w:rPr>
        <w:t>每次回访和维护需做好记录，作为尾款（质保金）结算的依据。如未按要求履行，将扣除质保金，</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sz w:val="24"/>
          <w:szCs w:val="24"/>
        </w:rPr>
        <w:t>对提供的产品免费保修期（质保期）为</w:t>
      </w:r>
      <w:r>
        <w:rPr>
          <w:rFonts w:hint="eastAsia" w:ascii="宋体" w:hAnsi="宋体" w:cs="宋体"/>
          <w:sz w:val="24"/>
          <w:szCs w:val="24"/>
          <w:lang w:val="en-US" w:eastAsia="zh-CN"/>
        </w:rPr>
        <w:t>三</w:t>
      </w:r>
      <w:r>
        <w:rPr>
          <w:rFonts w:hint="eastAsia" w:ascii="宋体" w:hAnsi="宋体" w:eastAsia="宋体" w:cs="宋体"/>
          <w:sz w:val="24"/>
          <w:szCs w:val="24"/>
        </w:rPr>
        <w:t>年</w:t>
      </w:r>
      <w:r>
        <w:rPr>
          <w:rFonts w:hint="eastAsia" w:ascii="宋体" w:hAnsi="宋体" w:cs="宋体"/>
          <w:sz w:val="24"/>
          <w:szCs w:val="24"/>
          <w:lang w:val="en-US" w:eastAsia="zh-CN"/>
        </w:rPr>
        <w:t>及以上</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b/>
          <w:color w:val="000000"/>
          <w:sz w:val="24"/>
        </w:rPr>
      </w:pPr>
      <w:r>
        <w:rPr>
          <w:rFonts w:hint="eastAsia" w:ascii="宋体" w:hAnsi="宋体" w:eastAsia="宋体" w:cs="宋体"/>
          <w:sz w:val="24"/>
          <w:szCs w:val="24"/>
        </w:rPr>
        <w:t>9、投标人应在投标文件中详细对质量保证及售后服务方案</w:t>
      </w:r>
      <w:r>
        <w:rPr>
          <w:rFonts w:hint="eastAsia" w:ascii="宋体" w:hAnsi="宋体" w:cs="宋体"/>
          <w:sz w:val="24"/>
          <w:szCs w:val="24"/>
          <w:lang w:eastAsia="zh-CN"/>
        </w:rPr>
        <w:t>作出</w:t>
      </w:r>
      <w:r>
        <w:rPr>
          <w:rFonts w:hint="eastAsia" w:ascii="宋体" w:hAnsi="宋体" w:eastAsia="宋体" w:cs="宋体"/>
          <w:sz w:val="24"/>
          <w:szCs w:val="24"/>
        </w:rPr>
        <w:t>承诺，并加盖投标人有效公章。</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2、提供以本标书清单为基准的项目报价；一个标的只允许一个报价，不接受任何有选</w:t>
      </w:r>
      <w:r>
        <w:rPr>
          <w:rFonts w:hint="eastAsia" w:ascii="宋体" w:hAnsi="宋体" w:cs="宋体"/>
          <w:sz w:val="24"/>
          <w:szCs w:val="24"/>
          <w:lang w:eastAsia="zh-CN"/>
        </w:rPr>
        <w:t>择性地报价</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w:t>
      </w:r>
      <w:r>
        <w:rPr>
          <w:rFonts w:hint="eastAsia" w:ascii="宋体" w:hAnsi="宋体" w:cs="宋体"/>
          <w:sz w:val="24"/>
          <w:szCs w:val="24"/>
          <w:lang w:val="en-US" w:eastAsia="zh-CN"/>
        </w:rPr>
        <w:t>施工费用、安装费用、调试费用、</w:t>
      </w:r>
      <w:r>
        <w:rPr>
          <w:rFonts w:hint="eastAsia" w:ascii="宋体" w:hAnsi="宋体" w:eastAsia="宋体" w:cs="宋体"/>
          <w:sz w:val="24"/>
          <w:szCs w:val="24"/>
        </w:rPr>
        <w:t>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4、报价应</w:t>
      </w:r>
      <w:r>
        <w:rPr>
          <w:rFonts w:hint="eastAsia" w:ascii="宋体" w:hAnsi="宋体" w:cs="宋体"/>
          <w:sz w:val="24"/>
          <w:szCs w:val="24"/>
          <w:lang w:eastAsia="zh-CN"/>
        </w:rPr>
        <w:t>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line="400" w:lineRule="exact"/>
        <w:ind w:firstLine="422" w:firstLineChars="200"/>
        <w:rPr>
          <w:b/>
          <w:bCs/>
          <w:color w:val="000000"/>
          <w:sz w:val="24"/>
        </w:rPr>
      </w:pPr>
      <w:r>
        <w:rPr>
          <w:rFonts w:hint="eastAsia"/>
          <w:b/>
          <w:bCs/>
          <w:lang w:val="en-US" w:eastAsia="zh-CN"/>
        </w:rPr>
        <w:t>四、</w:t>
      </w:r>
      <w:r>
        <w:rPr>
          <w:rFonts w:hint="eastAsia"/>
          <w:b/>
          <w:bCs/>
          <w:color w:val="000000"/>
          <w:sz w:val="24"/>
        </w:rPr>
        <w:t>安装、调试及验收要求</w:t>
      </w:r>
    </w:p>
    <w:p>
      <w:pPr>
        <w:spacing w:line="420" w:lineRule="atLeast"/>
        <w:ind w:firstLine="480" w:firstLineChars="200"/>
        <w:rPr>
          <w:rFonts w:hint="eastAsia"/>
          <w:color w:val="000000"/>
          <w:sz w:val="24"/>
        </w:rPr>
      </w:pPr>
      <w:r>
        <w:rPr>
          <w:rFonts w:hint="eastAsia"/>
          <w:color w:val="000000"/>
          <w:sz w:val="24"/>
        </w:rPr>
        <w:t>（1）卖方应在买方的配合下，负责对货物的现场安装调试；</w:t>
      </w:r>
    </w:p>
    <w:p>
      <w:pPr>
        <w:spacing w:line="420" w:lineRule="atLeast"/>
        <w:ind w:firstLine="480" w:firstLineChars="200"/>
        <w:rPr>
          <w:rFonts w:hint="eastAsia"/>
          <w:color w:val="000000"/>
          <w:sz w:val="24"/>
        </w:rPr>
      </w:pPr>
      <w:r>
        <w:rPr>
          <w:rFonts w:hint="eastAsia"/>
          <w:color w:val="000000"/>
          <w:sz w:val="24"/>
        </w:rPr>
        <w:t>（2）货物到达买方指定地点后，卖方应在收到买方通知后48小时内派遣合格的技术人员前往买方完成货物的安装、调试工作；</w:t>
      </w:r>
    </w:p>
    <w:p>
      <w:pPr>
        <w:spacing w:line="420" w:lineRule="atLeast"/>
        <w:ind w:firstLine="480" w:firstLineChars="200"/>
        <w:rPr>
          <w:rFonts w:hint="eastAsia"/>
          <w:color w:val="000000"/>
          <w:sz w:val="24"/>
        </w:rPr>
      </w:pPr>
      <w:r>
        <w:rPr>
          <w:rFonts w:hint="eastAsia"/>
          <w:color w:val="000000"/>
          <w:sz w:val="24"/>
        </w:rPr>
        <w:t>（3）验收测试所需要的材料、设备和测试样品等均由卖方负责提供；</w:t>
      </w:r>
    </w:p>
    <w:p>
      <w:pPr>
        <w:spacing w:line="420" w:lineRule="atLeast"/>
        <w:ind w:firstLine="480" w:firstLineChars="200"/>
        <w:rPr>
          <w:rFonts w:hint="eastAsia"/>
          <w:color w:val="000000"/>
          <w:sz w:val="24"/>
        </w:rPr>
      </w:pPr>
      <w:r>
        <w:rPr>
          <w:rFonts w:hint="eastAsia"/>
          <w:color w:val="000000"/>
          <w:sz w:val="24"/>
        </w:rPr>
        <w:t>（4）卖方应在规定的期限内完成安装调试工作，如因卖方责任而造成安装调试的延期，因延期而产生的所有费用由卖方承担；</w:t>
      </w:r>
    </w:p>
    <w:p>
      <w:pPr>
        <w:spacing w:line="420" w:lineRule="atLeast"/>
        <w:ind w:firstLine="480" w:firstLineChars="200"/>
        <w:rPr>
          <w:rFonts w:hint="eastAsia"/>
          <w:color w:val="000000"/>
          <w:sz w:val="24"/>
        </w:rPr>
      </w:pPr>
      <w:r>
        <w:rPr>
          <w:rFonts w:hint="eastAsia"/>
          <w:color w:val="000000"/>
          <w:sz w:val="24"/>
        </w:rPr>
        <w:t>（5）最终验收在买方使用现场进行，在货物达到验收标准，包括应满足中国安全标准和环境保护标准后，买卖双方共同签署验收合格报告；</w:t>
      </w:r>
    </w:p>
    <w:p>
      <w:pPr>
        <w:spacing w:line="420" w:lineRule="atLeast"/>
        <w:ind w:firstLine="480" w:firstLineChars="200"/>
        <w:rPr>
          <w:rFonts w:hint="default" w:eastAsia="宋体"/>
          <w:lang w:val="en-US" w:eastAsia="zh-CN"/>
        </w:rPr>
      </w:pPr>
      <w:r>
        <w:rPr>
          <w:rFonts w:hint="eastAsia"/>
          <w:color w:val="000000"/>
          <w:sz w:val="24"/>
        </w:rPr>
        <w:t>（6）卖方人员在买方安装调试期间所产生一切费用由卖方承担。</w:t>
      </w:r>
    </w:p>
    <w:p>
      <w:pPr>
        <w:spacing w:line="420" w:lineRule="atLeast"/>
        <w:ind w:firstLine="482" w:firstLineChars="200"/>
        <w:rPr>
          <w:rFonts w:ascii="宋体" w:hAnsi="宋体" w:cs="宋体"/>
          <w:color w:val="000000"/>
          <w:sz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、付款方式：</w:t>
      </w:r>
      <w:r>
        <w:rPr>
          <w:rFonts w:hint="eastAsia" w:ascii="宋体" w:hAnsi="宋体" w:eastAsia="宋体" w:cs="宋体"/>
          <w:b/>
          <w:bCs/>
          <w:color w:val="FF0000"/>
          <w:sz w:val="24"/>
          <w:szCs w:val="24"/>
          <w:lang w:val="en-US" w:eastAsia="zh-CN"/>
        </w:rPr>
        <w:t>设备安装调试结束后，运行一个月后进行验收，验收合格一个月内付至合同的90%，剩余尾款作为质保金</w:t>
      </w:r>
      <w:r>
        <w:rPr>
          <w:rFonts w:hint="eastAsia" w:ascii="宋体" w:hAnsi="宋体" w:cs="宋体"/>
          <w:b/>
          <w:bCs/>
          <w:color w:val="FF0000"/>
          <w:sz w:val="24"/>
          <w:szCs w:val="24"/>
          <w:lang w:val="en-US" w:eastAsia="zh-CN"/>
        </w:rPr>
        <w:t>。</w:t>
      </w:r>
      <w:r>
        <w:rPr>
          <w:rFonts w:hint="eastAsia" w:ascii="宋体" w:hAnsi="宋体" w:eastAsia="宋体" w:cs="宋体"/>
          <w:b/>
          <w:bCs/>
          <w:color w:val="FF0000"/>
          <w:sz w:val="24"/>
          <w:szCs w:val="24"/>
          <w:lang w:val="en-US" w:eastAsia="zh-CN"/>
        </w:rPr>
        <w:t>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w:t>
      </w:r>
      <w:r>
        <w:rPr>
          <w:rFonts w:hint="eastAsia" w:ascii="宋体" w:hAnsi="宋体" w:cs="宋体"/>
          <w:b/>
          <w:bCs/>
          <w:color w:val="FF0000"/>
          <w:sz w:val="24"/>
          <w:szCs w:val="24"/>
          <w:lang w:val="en-US" w:eastAsia="zh-CN"/>
        </w:rPr>
        <w:t>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w:t>
      </w:r>
      <w:r>
        <w:rPr>
          <w:rFonts w:hint="eastAsia" w:ascii="宋体" w:hAnsi="宋体" w:cs="宋体"/>
          <w:sz w:val="24"/>
          <w:szCs w:val="24"/>
          <w:lang w:val="en-US" w:eastAsia="zh-CN"/>
        </w:rPr>
        <w:t>签订合同</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4、本项目采用固定单价，最终数量以验收为准。</w:t>
      </w:r>
    </w:p>
    <w:p>
      <w:pPr>
        <w:spacing w:before="100" w:after="100"/>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5、质保期内如校方需要进行二期、三期等建设，或需要增加设备材料等，中标单位必须按照合同价格供货，不得增加任何费用。</w:t>
      </w:r>
    </w:p>
    <w:p>
      <w:pPr>
        <w:spacing w:before="100" w:after="100"/>
        <w:ind w:left="0" w:leftChars="0" w:firstLine="482" w:firstLineChars="200"/>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6、投标文件中的设备型号、参数等需要填写实际投标产品的型号和参数，不得复制招标文件的参数，否则视为无效标书。</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spacing w:line="300" w:lineRule="auto"/>
        <w:jc w:val="left"/>
        <w:rPr>
          <w:rFonts w:hint="default" w:ascii="宋体" w:hAnsi="宋体" w:eastAsia="宋体" w:cs="Times New Roman"/>
          <w:b/>
          <w:bCs w:val="0"/>
          <w:color w:val="0000FF"/>
          <w:spacing w:val="4"/>
          <w:sz w:val="24"/>
          <w:szCs w:val="24"/>
          <w:lang w:val="en-US" w:eastAsia="zh-CN"/>
        </w:rPr>
      </w:pPr>
      <w:bookmarkStart w:id="1" w:name="_Toc34991460"/>
      <w:bookmarkStart w:id="2" w:name="_Toc29247"/>
      <w:r>
        <w:rPr>
          <w:rFonts w:hint="eastAsia" w:ascii="宋体" w:hAnsi="宋体" w:cs="Times New Roman"/>
          <w:b w:val="0"/>
          <w:bCs/>
          <w:spacing w:val="4"/>
          <w:sz w:val="21"/>
          <w:szCs w:val="21"/>
          <w:lang w:val="en-US" w:eastAsia="zh-CN"/>
        </w:rPr>
        <w:t xml:space="preserve">     </w:t>
      </w:r>
      <w:r>
        <w:rPr>
          <w:rFonts w:hint="eastAsia" w:ascii="宋体" w:hAnsi="宋体" w:cs="Times New Roman"/>
          <w:b/>
          <w:bCs w:val="0"/>
          <w:color w:val="0000FF"/>
          <w:spacing w:val="4"/>
          <w:sz w:val="24"/>
          <w:szCs w:val="24"/>
          <w:lang w:val="en-US" w:eastAsia="zh-CN"/>
        </w:rPr>
        <w:t xml:space="preserve"> 详见附件</w:t>
      </w:r>
    </w:p>
    <w:p>
      <w:pPr>
        <w:spacing w:line="300" w:lineRule="auto"/>
        <w:jc w:val="center"/>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pStyle w:val="2"/>
        <w:rPr>
          <w:rFonts w:hint="eastAsia" w:ascii="宋体" w:hAnsi="宋体" w:cs="Times New Roman"/>
          <w:b/>
          <w:spacing w:val="4"/>
          <w:sz w:val="44"/>
          <w:szCs w:val="44"/>
        </w:rPr>
      </w:pPr>
    </w:p>
    <w:p>
      <w:pPr>
        <w:spacing w:line="300" w:lineRule="auto"/>
        <w:jc w:val="both"/>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r>
        <w:rPr>
          <w:rFonts w:hint="eastAsia" w:ascii="宋体" w:hAnsi="宋体" w:cs="Times New Roman"/>
          <w:b/>
          <w:spacing w:val="4"/>
          <w:sz w:val="44"/>
          <w:szCs w:val="44"/>
        </w:rPr>
        <w:t>第</w:t>
      </w:r>
      <w:r>
        <w:rPr>
          <w:rFonts w:hint="eastAsia" w:ascii="宋体" w:hAnsi="宋体" w:cs="Times New Roman"/>
          <w:b/>
          <w:spacing w:val="4"/>
          <w:sz w:val="44"/>
          <w:szCs w:val="44"/>
          <w:lang w:val="en-US" w:eastAsia="zh-CN"/>
        </w:rPr>
        <w:t>五</w:t>
      </w:r>
      <w:r>
        <w:rPr>
          <w:rFonts w:hint="eastAsia" w:ascii="宋体" w:hAnsi="宋体" w:cs="Times New Roman"/>
          <w:b/>
          <w:spacing w:val="4"/>
          <w:sz w:val="44"/>
          <w:szCs w:val="44"/>
        </w:rPr>
        <w:t>部分  附  件</w:t>
      </w:r>
      <w:bookmarkEnd w:id="1"/>
      <w:bookmarkEnd w:id="2"/>
    </w:p>
    <w:p>
      <w:pPr>
        <w:spacing w:line="360" w:lineRule="auto"/>
        <w:outlineLvl w:val="0"/>
        <w:rPr>
          <w:rFonts w:hint="eastAsia" w:ascii="宋体" w:hAnsi="宋体"/>
          <w:color w:val="000000"/>
          <w:spacing w:val="4"/>
          <w:sz w:val="24"/>
        </w:rPr>
      </w:pPr>
      <w:bookmarkStart w:id="3" w:name="_Toc25711"/>
    </w:p>
    <w:p>
      <w:pPr>
        <w:spacing w:line="360" w:lineRule="auto"/>
        <w:outlineLvl w:val="0"/>
        <w:rPr>
          <w:rFonts w:ascii="宋体"/>
          <w:color w:val="000000"/>
          <w:spacing w:val="4"/>
          <w:sz w:val="24"/>
        </w:rPr>
      </w:pPr>
      <w:r>
        <w:rPr>
          <w:rFonts w:hint="eastAsia" w:ascii="宋体" w:hAnsi="宋体"/>
          <w:color w:val="000000"/>
          <w:spacing w:val="4"/>
          <w:sz w:val="24"/>
        </w:rPr>
        <w:t>附件</w:t>
      </w:r>
      <w:r>
        <w:rPr>
          <w:rFonts w:ascii="宋体" w:hAnsi="宋体"/>
          <w:color w:val="000000"/>
          <w:spacing w:val="4"/>
          <w:sz w:val="24"/>
        </w:rPr>
        <w:t>1</w:t>
      </w:r>
      <w:r>
        <w:rPr>
          <w:rFonts w:hint="eastAsia" w:ascii="宋体" w:hAnsi="宋体"/>
          <w:color w:val="000000"/>
          <w:spacing w:val="4"/>
          <w:sz w:val="24"/>
        </w:rPr>
        <w:t>：投标函</w:t>
      </w:r>
      <w:bookmarkEnd w:id="3"/>
    </w:p>
    <w:p>
      <w:pPr>
        <w:spacing w:line="360" w:lineRule="auto"/>
        <w:outlineLvl w:val="0"/>
        <w:rPr>
          <w:rFonts w:ascii="宋体"/>
          <w:color w:val="000000"/>
          <w:spacing w:val="4"/>
          <w:sz w:val="24"/>
        </w:rPr>
      </w:pPr>
      <w:bookmarkStart w:id="4" w:name="_Toc4539"/>
      <w:r>
        <w:rPr>
          <w:rFonts w:hint="eastAsia" w:ascii="宋体" w:hAnsi="宋体"/>
          <w:color w:val="000000"/>
          <w:spacing w:val="4"/>
          <w:sz w:val="24"/>
        </w:rPr>
        <w:t>附件</w:t>
      </w:r>
      <w:r>
        <w:rPr>
          <w:rFonts w:ascii="宋体" w:hAnsi="宋体"/>
          <w:color w:val="000000"/>
          <w:spacing w:val="4"/>
          <w:sz w:val="24"/>
        </w:rPr>
        <w:t>2</w:t>
      </w:r>
      <w:r>
        <w:rPr>
          <w:rFonts w:hint="eastAsia" w:ascii="宋体" w:hAnsi="宋体"/>
          <w:color w:val="000000"/>
          <w:spacing w:val="4"/>
          <w:sz w:val="24"/>
        </w:rPr>
        <w:t>：投标报价总表</w:t>
      </w:r>
      <w:bookmarkEnd w:id="4"/>
    </w:p>
    <w:p>
      <w:pPr>
        <w:spacing w:line="360" w:lineRule="auto"/>
        <w:outlineLvl w:val="0"/>
        <w:rPr>
          <w:rFonts w:ascii="宋体"/>
          <w:color w:val="000000"/>
          <w:spacing w:val="4"/>
          <w:sz w:val="24"/>
        </w:rPr>
      </w:pPr>
      <w:bookmarkStart w:id="5" w:name="_Toc8821"/>
      <w:r>
        <w:rPr>
          <w:rFonts w:hint="eastAsia" w:ascii="宋体" w:hAnsi="宋体"/>
          <w:color w:val="000000"/>
          <w:spacing w:val="4"/>
          <w:sz w:val="24"/>
        </w:rPr>
        <w:t>附件</w:t>
      </w:r>
      <w:r>
        <w:rPr>
          <w:rFonts w:ascii="宋体" w:hAnsi="宋体"/>
          <w:color w:val="000000"/>
          <w:spacing w:val="4"/>
          <w:sz w:val="24"/>
        </w:rPr>
        <w:t>3</w:t>
      </w:r>
      <w:r>
        <w:rPr>
          <w:rFonts w:hint="eastAsia" w:ascii="宋体" w:hAnsi="宋体"/>
          <w:color w:val="000000"/>
          <w:spacing w:val="4"/>
          <w:sz w:val="24"/>
        </w:rPr>
        <w:t>：配置清单及分项报价表</w:t>
      </w:r>
      <w:bookmarkEnd w:id="5"/>
    </w:p>
    <w:p>
      <w:pPr>
        <w:spacing w:line="360" w:lineRule="auto"/>
        <w:outlineLvl w:val="0"/>
        <w:rPr>
          <w:color w:val="000000"/>
          <w:sz w:val="24"/>
        </w:rPr>
      </w:pPr>
      <w:bookmarkStart w:id="6" w:name="_Toc31196"/>
      <w:r>
        <w:rPr>
          <w:rFonts w:hint="eastAsia" w:ascii="宋体" w:hAnsi="宋体"/>
          <w:color w:val="000000"/>
          <w:spacing w:val="4"/>
          <w:sz w:val="24"/>
        </w:rPr>
        <w:t>附件</w:t>
      </w:r>
      <w:r>
        <w:rPr>
          <w:rFonts w:ascii="宋体" w:hAnsi="宋体"/>
          <w:color w:val="000000"/>
          <w:spacing w:val="4"/>
          <w:sz w:val="24"/>
        </w:rPr>
        <w:t>4</w:t>
      </w:r>
      <w:r>
        <w:rPr>
          <w:rFonts w:hint="eastAsia" w:ascii="宋体" w:hAnsi="宋体"/>
          <w:color w:val="000000"/>
          <w:spacing w:val="4"/>
          <w:sz w:val="24"/>
        </w:rPr>
        <w:t>：技术规格响应</w:t>
      </w:r>
      <w:r>
        <w:rPr>
          <w:rFonts w:ascii="宋体" w:hAnsi="宋体"/>
          <w:color w:val="000000"/>
          <w:spacing w:val="4"/>
          <w:sz w:val="24"/>
        </w:rPr>
        <w:t>/</w:t>
      </w:r>
      <w:r>
        <w:rPr>
          <w:rFonts w:hint="eastAsia" w:ascii="宋体" w:hAnsi="宋体"/>
          <w:color w:val="000000"/>
          <w:spacing w:val="4"/>
          <w:sz w:val="24"/>
        </w:rPr>
        <w:t>偏</w:t>
      </w:r>
      <w:r>
        <w:rPr>
          <w:rFonts w:hint="eastAsia"/>
          <w:color w:val="000000"/>
          <w:sz w:val="24"/>
        </w:rPr>
        <w:t>离表</w:t>
      </w:r>
      <w:bookmarkEnd w:id="6"/>
    </w:p>
    <w:p>
      <w:pPr>
        <w:spacing w:line="360" w:lineRule="auto"/>
        <w:outlineLvl w:val="0"/>
        <w:rPr>
          <w:color w:val="000000"/>
          <w:sz w:val="24"/>
        </w:rPr>
      </w:pPr>
      <w:bookmarkStart w:id="7" w:name="_Toc7318"/>
      <w:r>
        <w:rPr>
          <w:rFonts w:hint="eastAsia" w:ascii="宋体" w:hAnsi="宋体"/>
          <w:color w:val="000000"/>
          <w:spacing w:val="4"/>
          <w:sz w:val="24"/>
        </w:rPr>
        <w:t>附件</w:t>
      </w:r>
      <w:r>
        <w:rPr>
          <w:rFonts w:ascii="宋体" w:hAnsi="宋体"/>
          <w:color w:val="000000"/>
          <w:spacing w:val="4"/>
          <w:sz w:val="24"/>
        </w:rPr>
        <w:t>5</w:t>
      </w:r>
      <w:r>
        <w:rPr>
          <w:rFonts w:hint="eastAsia" w:ascii="宋体" w:hAnsi="宋体"/>
          <w:color w:val="000000"/>
          <w:spacing w:val="4"/>
          <w:sz w:val="24"/>
        </w:rPr>
        <w:t>：</w:t>
      </w:r>
      <w:r>
        <w:rPr>
          <w:rFonts w:hint="eastAsia"/>
          <w:color w:val="000000"/>
          <w:sz w:val="24"/>
        </w:rPr>
        <w:t>商务条款响应</w:t>
      </w:r>
      <w:r>
        <w:rPr>
          <w:rFonts w:ascii="宋体" w:hAnsi="宋体"/>
          <w:color w:val="000000"/>
          <w:spacing w:val="4"/>
          <w:sz w:val="24"/>
        </w:rPr>
        <w:t>/</w:t>
      </w:r>
      <w:r>
        <w:rPr>
          <w:rFonts w:hint="eastAsia"/>
          <w:color w:val="000000"/>
          <w:sz w:val="24"/>
        </w:rPr>
        <w:t>偏离表</w:t>
      </w:r>
      <w:bookmarkEnd w:id="7"/>
    </w:p>
    <w:p>
      <w:pPr>
        <w:spacing w:line="360" w:lineRule="auto"/>
        <w:outlineLvl w:val="0"/>
        <w:rPr>
          <w:color w:val="000000"/>
          <w:sz w:val="24"/>
        </w:rPr>
      </w:pPr>
      <w:bookmarkStart w:id="8" w:name="_Toc10379"/>
      <w:r>
        <w:rPr>
          <w:rFonts w:hint="eastAsia" w:ascii="宋体" w:hAnsi="宋体"/>
          <w:color w:val="000000"/>
          <w:spacing w:val="4"/>
          <w:sz w:val="24"/>
        </w:rPr>
        <w:t>附件</w:t>
      </w:r>
      <w:r>
        <w:rPr>
          <w:rFonts w:ascii="宋体" w:hAnsi="宋体"/>
          <w:color w:val="000000"/>
          <w:spacing w:val="4"/>
          <w:sz w:val="24"/>
        </w:rPr>
        <w:t>6</w:t>
      </w:r>
      <w:r>
        <w:rPr>
          <w:rFonts w:hint="eastAsia" w:ascii="宋体" w:hAnsi="宋体"/>
          <w:color w:val="000000"/>
          <w:spacing w:val="4"/>
          <w:sz w:val="24"/>
        </w:rPr>
        <w:t>：</w:t>
      </w:r>
      <w:r>
        <w:rPr>
          <w:rFonts w:hint="eastAsia"/>
          <w:color w:val="000000"/>
          <w:sz w:val="24"/>
        </w:rPr>
        <w:t>法定代表人资格证明</w:t>
      </w:r>
      <w:bookmarkEnd w:id="8"/>
    </w:p>
    <w:p>
      <w:pPr>
        <w:spacing w:line="360" w:lineRule="auto"/>
        <w:outlineLvl w:val="0"/>
        <w:rPr>
          <w:color w:val="000000"/>
          <w:sz w:val="24"/>
        </w:rPr>
      </w:pPr>
      <w:bookmarkStart w:id="9" w:name="_Toc7025"/>
      <w:r>
        <w:rPr>
          <w:rFonts w:hint="eastAsia" w:ascii="宋体" w:hAnsi="宋体"/>
          <w:color w:val="000000"/>
          <w:spacing w:val="4"/>
          <w:sz w:val="24"/>
        </w:rPr>
        <w:t>附件</w:t>
      </w:r>
      <w:r>
        <w:rPr>
          <w:rFonts w:ascii="宋体" w:hAnsi="宋体"/>
          <w:color w:val="000000"/>
          <w:spacing w:val="4"/>
          <w:sz w:val="24"/>
        </w:rPr>
        <w:t>7</w:t>
      </w:r>
      <w:r>
        <w:rPr>
          <w:rFonts w:hint="eastAsia" w:ascii="宋体" w:hAnsi="宋体"/>
          <w:color w:val="000000"/>
          <w:spacing w:val="4"/>
          <w:sz w:val="24"/>
        </w:rPr>
        <w:t>：</w:t>
      </w:r>
      <w:r>
        <w:rPr>
          <w:rFonts w:hint="eastAsia"/>
          <w:color w:val="000000"/>
          <w:sz w:val="24"/>
        </w:rPr>
        <w:t>法定代表人授权书</w:t>
      </w:r>
      <w:bookmarkEnd w:id="9"/>
    </w:p>
    <w:p>
      <w:pPr>
        <w:spacing w:line="360" w:lineRule="auto"/>
        <w:outlineLvl w:val="0"/>
        <w:rPr>
          <w:color w:val="000000"/>
          <w:sz w:val="24"/>
        </w:rPr>
      </w:pPr>
      <w:bookmarkStart w:id="10" w:name="_Toc25821"/>
      <w:r>
        <w:rPr>
          <w:rFonts w:hint="eastAsia"/>
          <w:color w:val="000000"/>
          <w:sz w:val="24"/>
        </w:rPr>
        <w:t>附件8：报名投标确认函</w:t>
      </w:r>
      <w:bookmarkEnd w:id="10"/>
    </w:p>
    <w:p>
      <w:pPr>
        <w:spacing w:line="360" w:lineRule="auto"/>
        <w:rPr>
          <w:rFonts w:ascii="宋体"/>
          <w:color w:val="000000"/>
          <w:spacing w:val="4"/>
          <w:sz w:val="24"/>
        </w:rPr>
      </w:pPr>
    </w:p>
    <w:p>
      <w:pPr>
        <w:spacing w:line="360" w:lineRule="auto"/>
        <w:rPr>
          <w:color w:val="000000"/>
          <w:sz w:val="24"/>
        </w:rPr>
      </w:pPr>
    </w:p>
    <w:p>
      <w:pPr>
        <w:spacing w:line="360" w:lineRule="auto"/>
        <w:rPr>
          <w:color w:val="000000"/>
          <w:sz w:val="24"/>
        </w:rPr>
      </w:pPr>
    </w:p>
    <w:p>
      <w:pPr>
        <w:pStyle w:val="4"/>
        <w:rPr>
          <w:rFonts w:ascii="宋体" w:hAnsi="宋体"/>
          <w:color w:val="000000"/>
          <w:sz w:val="21"/>
          <w:szCs w:val="21"/>
        </w:rPr>
      </w:pPr>
      <w:r>
        <w:rPr>
          <w:color w:val="000000"/>
          <w:sz w:val="24"/>
        </w:rPr>
        <w:br w:type="page"/>
      </w:r>
      <w:bookmarkStart w:id="11" w:name="_Toc34991461"/>
      <w:bookmarkStart w:id="12" w:name="_Toc12022"/>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1"/>
      <w:bookmarkEnd w:id="1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w:t>
      </w:r>
      <w:r>
        <w:rPr>
          <w:rFonts w:hint="eastAsia" w:ascii="宋体" w:hAnsi="宋体"/>
          <w:bCs/>
          <w:color w:val="000000"/>
          <w:sz w:val="24"/>
          <w:lang w:eastAsia="zh-CN"/>
        </w:rPr>
        <w:t>质疑</w:t>
      </w:r>
      <w:r>
        <w:rPr>
          <w:rFonts w:hint="eastAsia" w:ascii="宋体" w:hAnsi="宋体"/>
          <w:bCs/>
          <w:color w:val="000000"/>
          <w:sz w:val="24"/>
        </w:rPr>
        <w:t>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6"/>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napToGrid w:val="0"/>
        <w:spacing w:line="360" w:lineRule="auto"/>
        <w:ind w:left="-143" w:leftChars="-68" w:right="-351" w:rightChars="-167"/>
        <w:rPr>
          <w:rFonts w:ascii="宋体"/>
          <w:color w:val="000000"/>
          <w:spacing w:val="4"/>
          <w:sz w:val="24"/>
        </w:rPr>
        <w:sectPr>
          <w:footerReference r:id="rId8" w:type="first"/>
          <w:footerReference r:id="rId6" w:type="default"/>
          <w:footerReference r:id="rId7" w:type="even"/>
          <w:pgSz w:w="11906" w:h="16838"/>
          <w:pgMar w:top="1440" w:right="1418" w:bottom="1440" w:left="1444" w:header="851" w:footer="992" w:gutter="0"/>
          <w:pgNumType w:fmt="decimal"/>
          <w:cols w:space="720" w:num="1"/>
          <w:titlePg/>
          <w:docGrid w:type="lines" w:linePitch="312" w:charSpace="0"/>
        </w:sectPr>
      </w:pPr>
    </w:p>
    <w:p>
      <w:pPr>
        <w:pStyle w:val="4"/>
        <w:rPr>
          <w:rFonts w:ascii="宋体" w:hAnsi="宋体"/>
          <w:b w:val="0"/>
          <w:color w:val="000000"/>
          <w:sz w:val="21"/>
          <w:szCs w:val="21"/>
        </w:rPr>
      </w:pPr>
      <w:bookmarkStart w:id="13" w:name="_Toc30593"/>
      <w:bookmarkStart w:id="14" w:name="_Toc34991462"/>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13"/>
      <w:bookmarkEnd w:id="14"/>
    </w:p>
    <w:p>
      <w:pPr>
        <w:snapToGrid w:val="0"/>
        <w:spacing w:line="360" w:lineRule="auto"/>
        <w:ind w:right="-351" w:rightChars="-167"/>
        <w:rPr>
          <w:rFonts w:ascii="宋体"/>
          <w:b/>
          <w:color w:val="000000"/>
          <w:sz w:val="36"/>
          <w:szCs w:val="36"/>
        </w:rPr>
      </w:pPr>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15" w:name="_Toc34991463"/>
      <w:bookmarkStart w:id="16"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15"/>
      <w:bookmarkEnd w:id="1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snapToGrid w:val="0"/>
        <w:spacing w:line="360" w:lineRule="auto"/>
        <w:ind w:right="-351" w:rightChars="-167"/>
        <w:jc w:val="center"/>
        <w:rPr>
          <w:rFonts w:hint="eastAsia" w:ascii="宋体" w:eastAsia="宋体"/>
          <w:b/>
          <w:color w:val="000000"/>
          <w:sz w:val="36"/>
          <w:szCs w:val="36"/>
          <w:lang w:eastAsia="zh-CN"/>
        </w:rPr>
      </w:pPr>
      <w:r>
        <w:rPr>
          <w:rFonts w:ascii="宋体" w:hAnsi="宋体"/>
          <w:color w:val="000000"/>
          <w:spacing w:val="4"/>
          <w:sz w:val="24"/>
        </w:rPr>
        <w:br w:type="page"/>
      </w:r>
      <w:bookmarkStart w:id="17" w:name="_Toc8152"/>
      <w:bookmarkStart w:id="18" w:name="_Toc34991464"/>
      <w:r>
        <w:rPr>
          <w:rFonts w:hint="eastAsia" w:ascii="宋体" w:hAnsi="宋体"/>
          <w:b/>
          <w:color w:val="000000"/>
          <w:sz w:val="36"/>
          <w:szCs w:val="36"/>
        </w:rPr>
        <w:t>配置清单</w:t>
      </w:r>
      <w:r>
        <w:rPr>
          <w:rFonts w:hint="eastAsia" w:ascii="宋体" w:hAnsi="宋体"/>
          <w:b/>
          <w:color w:val="000000"/>
          <w:sz w:val="36"/>
          <w:szCs w:val="36"/>
          <w:lang w:eastAsia="zh-CN"/>
        </w:rPr>
        <w:t>（</w:t>
      </w:r>
      <w:r>
        <w:rPr>
          <w:rFonts w:hint="eastAsia" w:ascii="宋体" w:hAnsi="宋体"/>
          <w:b/>
          <w:color w:val="000000"/>
          <w:sz w:val="36"/>
          <w:szCs w:val="36"/>
          <w:lang w:val="en-US" w:eastAsia="zh-CN"/>
        </w:rPr>
        <w:t>不含报价</w:t>
      </w:r>
      <w:r>
        <w:rPr>
          <w:rFonts w:hint="eastAsia" w:ascii="宋体" w:hAnsi="宋体"/>
          <w:b/>
          <w:color w:val="000000"/>
          <w:sz w:val="36"/>
          <w:szCs w:val="36"/>
          <w:lang w:eastAsia="zh-CN"/>
        </w:rPr>
        <w:t>）</w:t>
      </w:r>
    </w:p>
    <w:tbl>
      <w:tblPr>
        <w:tblStyle w:val="16"/>
        <w:tblW w:w="124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894"/>
        <w:gridCol w:w="1162"/>
        <w:gridCol w:w="3387"/>
        <w:gridCol w:w="1206"/>
        <w:gridCol w:w="683"/>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162" w:type="dxa"/>
            <w:noWrap w:val="0"/>
            <w:vAlign w:val="center"/>
          </w:tcPr>
          <w:p>
            <w:pPr>
              <w:spacing w:line="360" w:lineRule="auto"/>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Cs w:val="21"/>
              </w:rPr>
              <w:t>规格型号</w:t>
            </w:r>
          </w:p>
        </w:tc>
        <w:tc>
          <w:tcPr>
            <w:tcW w:w="3387" w:type="dxa"/>
            <w:noWrap w:val="0"/>
            <w:vAlign w:val="center"/>
          </w:tcPr>
          <w:p>
            <w:pPr>
              <w:spacing w:line="360" w:lineRule="auto"/>
              <w:jc w:val="center"/>
              <w:rPr>
                <w:rFonts w:hint="default" w:ascii="宋体" w:eastAsia="宋体"/>
                <w:b/>
                <w:color w:val="000000"/>
                <w:szCs w:val="21"/>
                <w:lang w:val="en-US" w:eastAsia="zh-CN"/>
              </w:rPr>
            </w:pPr>
            <w:r>
              <w:rPr>
                <w:rFonts w:hint="eastAsia" w:ascii="宋体"/>
                <w:b/>
                <w:color w:val="000000"/>
                <w:szCs w:val="21"/>
                <w:lang w:val="en-US" w:eastAsia="zh-CN"/>
              </w:rPr>
              <w:t>技术参数</w:t>
            </w:r>
            <w:r>
              <w:rPr>
                <w:rFonts w:hint="eastAsia" w:ascii="宋体" w:hAnsi="宋体"/>
                <w:b/>
                <w:color w:val="FF0000"/>
                <w:sz w:val="21"/>
                <w:szCs w:val="21"/>
                <w:lang w:eastAsia="zh-CN"/>
              </w:rPr>
              <w:t>（</w:t>
            </w:r>
            <w:r>
              <w:rPr>
                <w:rFonts w:hint="eastAsia" w:ascii="宋体" w:hAnsi="宋体"/>
                <w:b/>
                <w:color w:val="FF0000"/>
                <w:sz w:val="21"/>
                <w:szCs w:val="21"/>
                <w:lang w:val="en-US" w:eastAsia="zh-CN"/>
              </w:rPr>
              <w:t>不得复制招标文件条款</w:t>
            </w:r>
            <w:r>
              <w:rPr>
                <w:rFonts w:hint="eastAsia" w:ascii="宋体" w:hAnsi="宋体"/>
                <w:b/>
                <w:color w:val="FF0000"/>
                <w:sz w:val="21"/>
                <w:szCs w:val="21"/>
                <w:lang w:eastAsia="zh-CN"/>
              </w:rPr>
              <w:t>）</w:t>
            </w:r>
          </w:p>
        </w:tc>
        <w:tc>
          <w:tcPr>
            <w:tcW w:w="1206"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noWrap w:val="0"/>
            <w:vAlign w:val="top"/>
          </w:tcPr>
          <w:p>
            <w:pPr>
              <w:spacing w:line="360" w:lineRule="auto"/>
              <w:rPr>
                <w:rFonts w:ascii="宋体"/>
                <w:color w:val="000000"/>
                <w:sz w:val="24"/>
              </w:rPr>
            </w:pPr>
          </w:p>
        </w:tc>
        <w:tc>
          <w:tcPr>
            <w:tcW w:w="2894" w:type="dxa"/>
            <w:noWrap w:val="0"/>
            <w:vAlign w:val="top"/>
          </w:tcPr>
          <w:p>
            <w:pPr>
              <w:spacing w:line="360" w:lineRule="auto"/>
              <w:rPr>
                <w:rFonts w:ascii="宋体"/>
                <w:color w:val="000000"/>
                <w:sz w:val="24"/>
              </w:rPr>
            </w:pPr>
          </w:p>
        </w:tc>
        <w:tc>
          <w:tcPr>
            <w:tcW w:w="1162" w:type="dxa"/>
            <w:noWrap w:val="0"/>
            <w:vAlign w:val="top"/>
          </w:tcPr>
          <w:p>
            <w:pPr>
              <w:spacing w:line="360" w:lineRule="auto"/>
              <w:rPr>
                <w:rFonts w:ascii="宋体" w:hAnsi="Times New Roman" w:eastAsia="宋体" w:cs="Times New Roman"/>
                <w:color w:val="000000"/>
                <w:kern w:val="2"/>
                <w:sz w:val="24"/>
                <w:szCs w:val="22"/>
                <w:lang w:val="en-US" w:eastAsia="zh-CN" w:bidi="ar-SA"/>
              </w:rPr>
            </w:pPr>
          </w:p>
        </w:tc>
        <w:tc>
          <w:tcPr>
            <w:tcW w:w="3387" w:type="dxa"/>
            <w:noWrap w:val="0"/>
            <w:vAlign w:val="top"/>
          </w:tcPr>
          <w:p>
            <w:pPr>
              <w:spacing w:line="360" w:lineRule="auto"/>
              <w:rPr>
                <w:rFonts w:ascii="宋体"/>
                <w:color w:val="000000"/>
                <w:sz w:val="24"/>
              </w:rPr>
            </w:pPr>
          </w:p>
        </w:tc>
        <w:tc>
          <w:tcPr>
            <w:tcW w:w="1206"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noWrap w:val="0"/>
            <w:vAlign w:val="top"/>
          </w:tcPr>
          <w:p>
            <w:pPr>
              <w:spacing w:line="360" w:lineRule="auto"/>
              <w:rPr>
                <w:rFonts w:ascii="宋体"/>
                <w:color w:val="000000"/>
                <w:sz w:val="24"/>
              </w:rPr>
            </w:pPr>
          </w:p>
        </w:tc>
        <w:tc>
          <w:tcPr>
            <w:tcW w:w="2894" w:type="dxa"/>
            <w:noWrap w:val="0"/>
            <w:vAlign w:val="top"/>
          </w:tcPr>
          <w:p>
            <w:pPr>
              <w:spacing w:line="360" w:lineRule="auto"/>
              <w:rPr>
                <w:rFonts w:ascii="宋体"/>
                <w:color w:val="000000"/>
                <w:sz w:val="24"/>
              </w:rPr>
            </w:pPr>
          </w:p>
        </w:tc>
        <w:tc>
          <w:tcPr>
            <w:tcW w:w="1162" w:type="dxa"/>
            <w:noWrap w:val="0"/>
            <w:vAlign w:val="top"/>
          </w:tcPr>
          <w:p>
            <w:pPr>
              <w:spacing w:line="360" w:lineRule="auto"/>
              <w:rPr>
                <w:rFonts w:ascii="宋体" w:hAnsi="Times New Roman" w:eastAsia="宋体" w:cs="Times New Roman"/>
                <w:color w:val="000000"/>
                <w:kern w:val="2"/>
                <w:sz w:val="24"/>
                <w:szCs w:val="22"/>
                <w:lang w:val="en-US" w:eastAsia="zh-CN" w:bidi="ar-SA"/>
              </w:rPr>
            </w:pPr>
          </w:p>
        </w:tc>
        <w:tc>
          <w:tcPr>
            <w:tcW w:w="3387" w:type="dxa"/>
            <w:noWrap w:val="0"/>
            <w:vAlign w:val="top"/>
          </w:tcPr>
          <w:p>
            <w:pPr>
              <w:spacing w:line="360" w:lineRule="auto"/>
              <w:rPr>
                <w:rFonts w:ascii="宋体"/>
                <w:color w:val="000000"/>
                <w:sz w:val="24"/>
              </w:rPr>
            </w:pPr>
          </w:p>
        </w:tc>
        <w:tc>
          <w:tcPr>
            <w:tcW w:w="1206"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noWrap w:val="0"/>
            <w:vAlign w:val="top"/>
          </w:tcPr>
          <w:p>
            <w:pPr>
              <w:spacing w:line="360" w:lineRule="auto"/>
              <w:rPr>
                <w:rFonts w:ascii="宋体"/>
                <w:color w:val="000000"/>
                <w:sz w:val="24"/>
              </w:rPr>
            </w:pPr>
          </w:p>
        </w:tc>
        <w:tc>
          <w:tcPr>
            <w:tcW w:w="2894" w:type="dxa"/>
            <w:noWrap w:val="0"/>
            <w:vAlign w:val="top"/>
          </w:tcPr>
          <w:p>
            <w:pPr>
              <w:spacing w:line="360" w:lineRule="auto"/>
              <w:rPr>
                <w:rFonts w:ascii="宋体"/>
                <w:color w:val="000000"/>
                <w:sz w:val="24"/>
              </w:rPr>
            </w:pPr>
          </w:p>
        </w:tc>
        <w:tc>
          <w:tcPr>
            <w:tcW w:w="1162" w:type="dxa"/>
            <w:noWrap w:val="0"/>
            <w:vAlign w:val="top"/>
          </w:tcPr>
          <w:p>
            <w:pPr>
              <w:spacing w:line="360" w:lineRule="auto"/>
              <w:rPr>
                <w:rFonts w:ascii="宋体" w:hAnsi="Times New Roman" w:eastAsia="宋体" w:cs="Times New Roman"/>
                <w:color w:val="000000"/>
                <w:kern w:val="2"/>
                <w:sz w:val="24"/>
                <w:szCs w:val="22"/>
                <w:lang w:val="en-US" w:eastAsia="zh-CN" w:bidi="ar-SA"/>
              </w:rPr>
            </w:pPr>
          </w:p>
        </w:tc>
        <w:tc>
          <w:tcPr>
            <w:tcW w:w="3387" w:type="dxa"/>
            <w:noWrap w:val="0"/>
            <w:vAlign w:val="top"/>
          </w:tcPr>
          <w:p>
            <w:pPr>
              <w:spacing w:line="360" w:lineRule="auto"/>
              <w:rPr>
                <w:rFonts w:ascii="宋体"/>
                <w:color w:val="000000"/>
                <w:sz w:val="24"/>
              </w:rPr>
            </w:pPr>
          </w:p>
        </w:tc>
        <w:tc>
          <w:tcPr>
            <w:tcW w:w="1206"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noWrap w:val="0"/>
            <w:vAlign w:val="top"/>
          </w:tcPr>
          <w:p>
            <w:pPr>
              <w:spacing w:line="360" w:lineRule="auto"/>
              <w:rPr>
                <w:rFonts w:ascii="宋体"/>
                <w:color w:val="000000"/>
                <w:sz w:val="24"/>
              </w:rPr>
            </w:pPr>
          </w:p>
        </w:tc>
        <w:tc>
          <w:tcPr>
            <w:tcW w:w="2894" w:type="dxa"/>
            <w:noWrap w:val="0"/>
            <w:vAlign w:val="top"/>
          </w:tcPr>
          <w:p>
            <w:pPr>
              <w:spacing w:line="360" w:lineRule="auto"/>
              <w:rPr>
                <w:rFonts w:ascii="宋体"/>
                <w:color w:val="000000"/>
                <w:sz w:val="24"/>
              </w:rPr>
            </w:pPr>
          </w:p>
        </w:tc>
        <w:tc>
          <w:tcPr>
            <w:tcW w:w="1162" w:type="dxa"/>
            <w:noWrap w:val="0"/>
            <w:vAlign w:val="top"/>
          </w:tcPr>
          <w:p>
            <w:pPr>
              <w:spacing w:line="360" w:lineRule="auto"/>
              <w:rPr>
                <w:rFonts w:ascii="宋体" w:hAnsi="Times New Roman" w:eastAsia="宋体" w:cs="Times New Roman"/>
                <w:color w:val="000000"/>
                <w:kern w:val="2"/>
                <w:sz w:val="24"/>
                <w:szCs w:val="22"/>
                <w:lang w:val="en-US" w:eastAsia="zh-CN" w:bidi="ar-SA"/>
              </w:rPr>
            </w:pPr>
          </w:p>
        </w:tc>
        <w:tc>
          <w:tcPr>
            <w:tcW w:w="3387" w:type="dxa"/>
            <w:noWrap w:val="0"/>
            <w:vAlign w:val="top"/>
          </w:tcPr>
          <w:p>
            <w:pPr>
              <w:spacing w:line="360" w:lineRule="auto"/>
              <w:rPr>
                <w:rFonts w:ascii="宋体"/>
                <w:color w:val="000000"/>
                <w:sz w:val="24"/>
              </w:rPr>
            </w:pPr>
          </w:p>
        </w:tc>
        <w:tc>
          <w:tcPr>
            <w:tcW w:w="1206"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noWrap w:val="0"/>
            <w:vAlign w:val="top"/>
          </w:tcPr>
          <w:p>
            <w:pPr>
              <w:spacing w:line="360" w:lineRule="auto"/>
              <w:rPr>
                <w:rFonts w:ascii="宋体"/>
                <w:color w:val="000000"/>
                <w:sz w:val="24"/>
              </w:rPr>
            </w:pPr>
          </w:p>
        </w:tc>
        <w:tc>
          <w:tcPr>
            <w:tcW w:w="2894" w:type="dxa"/>
            <w:noWrap w:val="0"/>
            <w:vAlign w:val="top"/>
          </w:tcPr>
          <w:p>
            <w:pPr>
              <w:spacing w:line="360" w:lineRule="auto"/>
              <w:rPr>
                <w:rFonts w:ascii="宋体"/>
                <w:color w:val="000000"/>
                <w:sz w:val="24"/>
              </w:rPr>
            </w:pPr>
          </w:p>
        </w:tc>
        <w:tc>
          <w:tcPr>
            <w:tcW w:w="1162" w:type="dxa"/>
            <w:noWrap w:val="0"/>
            <w:vAlign w:val="top"/>
          </w:tcPr>
          <w:p>
            <w:pPr>
              <w:spacing w:line="360" w:lineRule="auto"/>
              <w:rPr>
                <w:rFonts w:ascii="宋体" w:hAnsi="Times New Roman" w:eastAsia="宋体" w:cs="Times New Roman"/>
                <w:color w:val="000000"/>
                <w:kern w:val="2"/>
                <w:sz w:val="24"/>
                <w:szCs w:val="22"/>
                <w:lang w:val="en-US" w:eastAsia="zh-CN" w:bidi="ar-SA"/>
              </w:rPr>
            </w:pPr>
          </w:p>
        </w:tc>
        <w:tc>
          <w:tcPr>
            <w:tcW w:w="3387" w:type="dxa"/>
            <w:noWrap w:val="0"/>
            <w:vAlign w:val="top"/>
          </w:tcPr>
          <w:p>
            <w:pPr>
              <w:spacing w:line="360" w:lineRule="auto"/>
              <w:rPr>
                <w:rFonts w:ascii="宋体"/>
                <w:color w:val="000000"/>
                <w:sz w:val="24"/>
              </w:rPr>
            </w:pPr>
          </w:p>
        </w:tc>
        <w:tc>
          <w:tcPr>
            <w:tcW w:w="1206"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noWrap w:val="0"/>
            <w:vAlign w:val="top"/>
          </w:tcPr>
          <w:p>
            <w:pPr>
              <w:spacing w:line="360" w:lineRule="auto"/>
              <w:rPr>
                <w:rFonts w:ascii="宋体"/>
                <w:color w:val="000000"/>
                <w:sz w:val="24"/>
              </w:rPr>
            </w:pPr>
          </w:p>
        </w:tc>
        <w:tc>
          <w:tcPr>
            <w:tcW w:w="2894" w:type="dxa"/>
            <w:noWrap w:val="0"/>
            <w:vAlign w:val="top"/>
          </w:tcPr>
          <w:p>
            <w:pPr>
              <w:spacing w:line="360" w:lineRule="auto"/>
              <w:rPr>
                <w:rFonts w:ascii="宋体"/>
                <w:color w:val="000000"/>
                <w:sz w:val="24"/>
              </w:rPr>
            </w:pPr>
          </w:p>
        </w:tc>
        <w:tc>
          <w:tcPr>
            <w:tcW w:w="1162" w:type="dxa"/>
            <w:noWrap w:val="0"/>
            <w:vAlign w:val="top"/>
          </w:tcPr>
          <w:p>
            <w:pPr>
              <w:spacing w:line="360" w:lineRule="auto"/>
              <w:rPr>
                <w:rFonts w:ascii="宋体" w:hAnsi="Times New Roman" w:eastAsia="宋体" w:cs="Times New Roman"/>
                <w:color w:val="000000"/>
                <w:kern w:val="2"/>
                <w:sz w:val="24"/>
                <w:szCs w:val="22"/>
                <w:lang w:val="en-US" w:eastAsia="zh-CN" w:bidi="ar-SA"/>
              </w:rPr>
            </w:pPr>
          </w:p>
        </w:tc>
        <w:tc>
          <w:tcPr>
            <w:tcW w:w="3387" w:type="dxa"/>
            <w:noWrap w:val="0"/>
            <w:vAlign w:val="top"/>
          </w:tcPr>
          <w:p>
            <w:pPr>
              <w:spacing w:line="360" w:lineRule="auto"/>
              <w:rPr>
                <w:rFonts w:ascii="宋体"/>
                <w:color w:val="000000"/>
                <w:sz w:val="24"/>
              </w:rPr>
            </w:pPr>
          </w:p>
        </w:tc>
        <w:tc>
          <w:tcPr>
            <w:tcW w:w="1206"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noWrap w:val="0"/>
            <w:vAlign w:val="top"/>
          </w:tcPr>
          <w:p>
            <w:pPr>
              <w:spacing w:line="360" w:lineRule="auto"/>
              <w:rPr>
                <w:rFonts w:ascii="宋体"/>
                <w:color w:val="000000"/>
                <w:sz w:val="24"/>
              </w:rPr>
            </w:pPr>
          </w:p>
        </w:tc>
        <w:tc>
          <w:tcPr>
            <w:tcW w:w="2894" w:type="dxa"/>
            <w:noWrap w:val="0"/>
            <w:vAlign w:val="top"/>
          </w:tcPr>
          <w:p>
            <w:pPr>
              <w:spacing w:line="360" w:lineRule="auto"/>
              <w:rPr>
                <w:rFonts w:ascii="宋体"/>
                <w:color w:val="000000"/>
                <w:sz w:val="24"/>
              </w:rPr>
            </w:pPr>
          </w:p>
        </w:tc>
        <w:tc>
          <w:tcPr>
            <w:tcW w:w="1162" w:type="dxa"/>
            <w:noWrap w:val="0"/>
            <w:vAlign w:val="top"/>
          </w:tcPr>
          <w:p>
            <w:pPr>
              <w:spacing w:line="360" w:lineRule="auto"/>
              <w:rPr>
                <w:rFonts w:ascii="宋体" w:hAnsi="Times New Roman" w:eastAsia="宋体" w:cs="Times New Roman"/>
                <w:color w:val="000000"/>
                <w:kern w:val="2"/>
                <w:sz w:val="24"/>
                <w:szCs w:val="22"/>
                <w:lang w:val="en-US" w:eastAsia="zh-CN" w:bidi="ar-SA"/>
              </w:rPr>
            </w:pPr>
          </w:p>
        </w:tc>
        <w:tc>
          <w:tcPr>
            <w:tcW w:w="3387" w:type="dxa"/>
            <w:noWrap w:val="0"/>
            <w:vAlign w:val="top"/>
          </w:tcPr>
          <w:p>
            <w:pPr>
              <w:spacing w:line="360" w:lineRule="auto"/>
              <w:rPr>
                <w:rFonts w:ascii="宋体"/>
                <w:color w:val="000000"/>
                <w:sz w:val="24"/>
              </w:rPr>
            </w:pPr>
          </w:p>
        </w:tc>
        <w:tc>
          <w:tcPr>
            <w:tcW w:w="1206"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00" w:type="dxa"/>
            <w:noWrap w:val="0"/>
            <w:vAlign w:val="top"/>
          </w:tcPr>
          <w:p>
            <w:pPr>
              <w:spacing w:line="360" w:lineRule="auto"/>
              <w:rPr>
                <w:rFonts w:ascii="宋体"/>
                <w:color w:val="000000"/>
                <w:sz w:val="24"/>
              </w:rPr>
            </w:pPr>
          </w:p>
        </w:tc>
        <w:tc>
          <w:tcPr>
            <w:tcW w:w="2894" w:type="dxa"/>
            <w:noWrap w:val="0"/>
            <w:vAlign w:val="top"/>
          </w:tcPr>
          <w:p>
            <w:pPr>
              <w:spacing w:line="360" w:lineRule="auto"/>
              <w:rPr>
                <w:rFonts w:ascii="宋体"/>
                <w:color w:val="000000"/>
                <w:sz w:val="24"/>
              </w:rPr>
            </w:pPr>
          </w:p>
        </w:tc>
        <w:tc>
          <w:tcPr>
            <w:tcW w:w="1162" w:type="dxa"/>
            <w:noWrap w:val="0"/>
            <w:vAlign w:val="top"/>
          </w:tcPr>
          <w:p>
            <w:pPr>
              <w:spacing w:line="360" w:lineRule="auto"/>
              <w:rPr>
                <w:rFonts w:ascii="宋体" w:hAnsi="Times New Roman" w:eastAsia="宋体" w:cs="Times New Roman"/>
                <w:color w:val="000000"/>
                <w:kern w:val="2"/>
                <w:sz w:val="24"/>
                <w:szCs w:val="22"/>
                <w:lang w:val="en-US" w:eastAsia="zh-CN" w:bidi="ar-SA"/>
              </w:rPr>
            </w:pPr>
          </w:p>
        </w:tc>
        <w:tc>
          <w:tcPr>
            <w:tcW w:w="3387" w:type="dxa"/>
            <w:noWrap w:val="0"/>
            <w:vAlign w:val="top"/>
          </w:tcPr>
          <w:p>
            <w:pPr>
              <w:spacing w:line="360" w:lineRule="auto"/>
              <w:rPr>
                <w:rFonts w:ascii="宋体"/>
                <w:color w:val="000000"/>
                <w:sz w:val="24"/>
              </w:rPr>
            </w:pPr>
          </w:p>
        </w:tc>
        <w:tc>
          <w:tcPr>
            <w:tcW w:w="1206"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3794" w:type="dxa"/>
            <w:gridSpan w:val="2"/>
            <w:noWrap w:val="0"/>
            <w:vAlign w:val="top"/>
          </w:tcPr>
          <w:p>
            <w:pPr>
              <w:spacing w:line="360" w:lineRule="auto"/>
              <w:rPr>
                <w:rFonts w:ascii="宋体"/>
                <w:color w:val="000000"/>
                <w:sz w:val="24"/>
              </w:rPr>
            </w:pPr>
            <w:r>
              <w:rPr>
                <w:rFonts w:hint="eastAsia" w:ascii="宋体" w:hAnsi="宋体"/>
                <w:b/>
                <w:color w:val="000000"/>
                <w:sz w:val="24"/>
              </w:rPr>
              <w:t>投标人名称（公章）</w:t>
            </w:r>
          </w:p>
        </w:tc>
        <w:tc>
          <w:tcPr>
            <w:tcW w:w="4549" w:type="dxa"/>
            <w:gridSpan w:val="2"/>
            <w:noWrap w:val="0"/>
            <w:vAlign w:val="top"/>
          </w:tcPr>
          <w:p>
            <w:pPr>
              <w:spacing w:line="360" w:lineRule="auto"/>
              <w:rPr>
                <w:rFonts w:ascii="宋体"/>
                <w:color w:val="000000"/>
                <w:sz w:val="24"/>
              </w:rPr>
            </w:pPr>
          </w:p>
        </w:tc>
        <w:tc>
          <w:tcPr>
            <w:tcW w:w="1206" w:type="dxa"/>
            <w:noWrap w:val="0"/>
            <w:vAlign w:val="top"/>
          </w:tcPr>
          <w:p>
            <w:pPr>
              <w:spacing w:line="360" w:lineRule="auto"/>
              <w:rPr>
                <w:rFonts w:hint="default" w:ascii="宋体" w:eastAsia="宋体"/>
                <w:color w:val="000000"/>
                <w:sz w:val="24"/>
                <w:lang w:val="en-US" w:eastAsia="zh-CN"/>
              </w:rPr>
            </w:pPr>
            <w:r>
              <w:rPr>
                <w:rFonts w:hint="eastAsia" w:ascii="宋体" w:hAnsi="宋体"/>
                <w:b/>
                <w:color w:val="000000"/>
                <w:sz w:val="24"/>
                <w:lang w:val="en-US" w:eastAsia="zh-CN"/>
              </w:rPr>
              <w:t>授权代表（签名）</w:t>
            </w:r>
          </w:p>
        </w:tc>
        <w:tc>
          <w:tcPr>
            <w:tcW w:w="2925" w:type="dxa"/>
            <w:gridSpan w:val="2"/>
            <w:noWrap w:val="0"/>
            <w:vAlign w:val="top"/>
          </w:tcPr>
          <w:p>
            <w:pPr>
              <w:spacing w:line="360" w:lineRule="auto"/>
              <w:rPr>
                <w:rFonts w:ascii="宋体"/>
                <w:color w:val="000000"/>
                <w:sz w:val="24"/>
              </w:rPr>
            </w:pPr>
          </w:p>
        </w:tc>
      </w:tr>
    </w:tbl>
    <w:p>
      <w:pPr>
        <w:pStyle w:val="4"/>
        <w:rPr>
          <w:rFonts w:hint="eastAsia" w:ascii="宋体" w:hAnsi="宋体"/>
          <w:b w:val="0"/>
          <w:color w:val="000000"/>
          <w:sz w:val="21"/>
          <w:szCs w:val="21"/>
        </w:rPr>
      </w:pPr>
    </w:p>
    <w:p>
      <w:pPr>
        <w:rPr>
          <w:rFonts w:hint="eastAsia"/>
        </w:rPr>
      </w:pPr>
    </w:p>
    <w:p>
      <w:pPr>
        <w:pStyle w:val="4"/>
        <w:rPr>
          <w:rFonts w:ascii="宋体"/>
          <w:b w:val="0"/>
          <w:color w:val="000000"/>
          <w:sz w:val="36"/>
          <w:szCs w:val="36"/>
        </w:rPr>
      </w:pPr>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17"/>
      <w:bookmarkEnd w:id="18"/>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6"/>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r>
              <w:rPr>
                <w:rFonts w:hint="eastAsia" w:ascii="宋体" w:hAnsi="宋体"/>
                <w:b/>
                <w:color w:val="FF0000"/>
                <w:sz w:val="24"/>
                <w:lang w:eastAsia="zh-CN"/>
              </w:rPr>
              <w:t>（</w:t>
            </w:r>
            <w:r>
              <w:rPr>
                <w:rFonts w:hint="eastAsia" w:ascii="宋体" w:hAnsi="宋体"/>
                <w:b/>
                <w:color w:val="FF0000"/>
                <w:sz w:val="24"/>
                <w:lang w:val="en-US" w:eastAsia="zh-CN"/>
              </w:rPr>
              <w:t>不得复制招标文件条款</w:t>
            </w:r>
            <w:r>
              <w:rPr>
                <w:rFonts w:hint="eastAsia" w:ascii="宋体" w:hAnsi="宋体"/>
                <w:b/>
                <w:color w:val="FF0000"/>
                <w:sz w:val="24"/>
                <w:lang w:eastAsia="zh-CN"/>
              </w:rPr>
              <w:t>）</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w:t>
      </w:r>
      <w:r>
        <w:rPr>
          <w:rFonts w:hint="eastAsia" w:ascii="宋体" w:hAnsi="宋体"/>
          <w:color w:val="000000"/>
          <w:sz w:val="24"/>
          <w:lang w:eastAsia="zh-CN"/>
        </w:rPr>
        <w:t>作出</w:t>
      </w:r>
      <w:r>
        <w:rPr>
          <w:rFonts w:hint="eastAsia" w:ascii="宋体" w:hAnsi="宋体"/>
          <w:color w:val="000000"/>
          <w:sz w:val="24"/>
        </w:rPr>
        <w:t>了实质性的响应，有</w:t>
      </w:r>
      <w:r>
        <w:rPr>
          <w:rFonts w:hint="eastAsia" w:ascii="宋体" w:hAnsi="宋体"/>
          <w:color w:val="000000"/>
          <w:sz w:val="24"/>
          <w:lang w:eastAsia="zh-CN"/>
        </w:rPr>
        <w:t>偏离地必须</w:t>
      </w:r>
      <w:r>
        <w:rPr>
          <w:rFonts w:hint="eastAsia" w:ascii="宋体" w:hAnsi="宋体"/>
          <w:color w:val="000000"/>
          <w:sz w:val="24"/>
        </w:rPr>
        <w:t>做出说明，对有具体参数要求的指标项，投标人必须提供本次投标货物的具体参数值。</w:t>
      </w:r>
    </w:p>
    <w:p>
      <w:pPr>
        <w:pStyle w:val="4"/>
        <w:rPr>
          <w:rFonts w:ascii="宋体"/>
          <w:b w:val="0"/>
          <w:color w:val="000000"/>
          <w:sz w:val="36"/>
          <w:szCs w:val="36"/>
        </w:rPr>
      </w:pPr>
      <w:r>
        <w:rPr>
          <w:rFonts w:ascii="宋体"/>
          <w:color w:val="000000"/>
          <w:sz w:val="24"/>
        </w:rPr>
        <w:br w:type="page"/>
      </w:r>
      <w:bookmarkStart w:id="19" w:name="_Toc34991465"/>
      <w:bookmarkStart w:id="20" w:name="_Toc17756"/>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19"/>
      <w:bookmarkEnd w:id="20"/>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6"/>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hint="eastAsia" w:ascii="宋体" w:eastAsia="宋体"/>
                <w:b/>
                <w:color w:val="000000"/>
                <w:sz w:val="24"/>
                <w:lang w:eastAsia="zh-CN"/>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w:t>
      </w:r>
      <w:r>
        <w:rPr>
          <w:rFonts w:hint="eastAsia" w:ascii="宋体" w:hAnsi="宋体"/>
          <w:color w:val="000000"/>
          <w:sz w:val="24"/>
          <w:lang w:eastAsia="zh-CN"/>
        </w:rPr>
        <w:t>作出</w:t>
      </w:r>
      <w:r>
        <w:rPr>
          <w:rFonts w:hint="eastAsia" w:ascii="宋体" w:hAnsi="宋体"/>
          <w:color w:val="000000"/>
          <w:sz w:val="24"/>
        </w:rPr>
        <w:t>了实质性的响应，有</w:t>
      </w:r>
      <w:r>
        <w:rPr>
          <w:rFonts w:hint="eastAsia" w:ascii="宋体" w:hAnsi="宋体"/>
          <w:color w:val="000000"/>
          <w:sz w:val="24"/>
          <w:lang w:eastAsia="zh-CN"/>
        </w:rPr>
        <w:t>偏离地必须</w:t>
      </w:r>
      <w:r>
        <w:rPr>
          <w:rFonts w:hint="eastAsia" w:ascii="宋体" w:hAnsi="宋体"/>
          <w:color w:val="000000"/>
          <w:sz w:val="24"/>
        </w:rPr>
        <w:t>做出说明。</w:t>
      </w:r>
    </w:p>
    <w:p>
      <w:pPr>
        <w:pStyle w:val="4"/>
        <w:rPr>
          <w:rFonts w:ascii="宋体" w:hAnsi="宋体"/>
          <w:b w:val="0"/>
          <w:color w:val="000000"/>
          <w:sz w:val="21"/>
          <w:szCs w:val="21"/>
        </w:rPr>
      </w:pPr>
      <w:bookmarkStart w:id="21" w:name="_Toc29319"/>
      <w:bookmarkStart w:id="22" w:name="_Toc34991466"/>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21"/>
      <w:bookmarkEnd w:id="22"/>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0"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0" w:rightChars="-167"/>
        <w:rPr>
          <w:color w:val="000000"/>
          <w:sz w:val="28"/>
          <w:szCs w:val="28"/>
        </w:rPr>
      </w:pPr>
    </w:p>
    <w:p>
      <w:pPr>
        <w:pStyle w:val="4"/>
        <w:rPr>
          <w:color w:val="000000"/>
        </w:rPr>
      </w:pPr>
      <w:bookmarkStart w:id="23" w:name="_Toc34991467"/>
      <w:bookmarkStart w:id="24"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2423160</wp:posOffset>
                </wp:positionH>
                <wp:positionV relativeFrom="paragraph">
                  <wp:posOffset>1156335</wp:posOffset>
                </wp:positionV>
                <wp:extent cx="2548255" cy="2437765"/>
                <wp:effectExtent l="4445" t="4445" r="19050" b="1524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90.8pt;margin-top:91.05pt;height:191.95pt;width:200.65pt;z-index:251661312;mso-width-relative:page;mso-height-relative:page;" fillcolor="#FFFFFF" filled="t" stroked="t" coordsize="21600,21600" o:gfxdata="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eCs9raAAAACwEAAA8AAAAAAAAAAQAgAAAAIgAAAGRycy9k&#10;b3ducmV2LnhtbFBLAQIUABQAAAAIAIdO4kAbLEHoOQIAAJUEAAAOAAAAAAAAAAEAIAAAACkBAABk&#10;cnMvZTJvRG9jLnhtbFBLBQYAAAAABgAGAFkBAADUBQ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vE5CdoAAAALAQAADwAAAAAAAAABACAAAAAiAAAAZHJzL2Rv&#10;d25yZXYueG1sUEsBAhQAFAAAAAgAh07iQMmUKqo4AgAAlQQAAA4AAAAAAAAAAQAgAAAAKQEAAGRy&#10;cy9lMm9Eb2MueG1sUEsFBgAAAAAGAAYAWQEAANM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23"/>
      <w:bookmarkEnd w:id="24"/>
    </w:p>
    <w:p>
      <w:pPr>
        <w:jc w:val="center"/>
        <w:rPr>
          <w:b/>
          <w:color w:val="000000"/>
          <w:sz w:val="44"/>
          <w:szCs w:val="44"/>
        </w:rPr>
      </w:pPr>
      <w:r>
        <w:rPr>
          <w:rFonts w:hint="eastAsia"/>
          <w:b/>
          <w:color w:val="000000"/>
          <w:sz w:val="44"/>
          <w:szCs w:val="44"/>
        </w:rPr>
        <w:t>法定代表人授权书</w:t>
      </w:r>
    </w:p>
    <w:p>
      <w:pPr>
        <w:spacing w:line="480" w:lineRule="auto"/>
        <w:ind w:left="-137" w:right="-350"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0"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opCWjZAAAACgEAAA8AAAAAAAAAAQAgAAAAIgAAAGRycy9k&#10;b3ducmV2LnhtbFBLAQIUABQAAAAIAIdO4kA1uxWqOgIAAJUEAAAOAAAAAAAAAAEAIAAAACgBAABk&#10;cnMvZTJvRG9jLnhtbFBLBQYAAAAABgAGAFkBAADU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quJzraAAAACgEAAA8AAAAAAAAAAQAgAAAAIgAAAGRy&#10;cy9kb3ducmV2LnhtbFBLAQIUABQAAAAIAIdO4kCFp+DTPAIAAJUEAAAOAAAAAAAAAAEAIAAAACkB&#10;AABkcnMvZTJvRG9jLnhtbFBLBQYAAAAABgAGAFkBAADX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pStyle w:val="38"/>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4"/>
        <w:rPr>
          <w:b w:val="0"/>
          <w:color w:val="000000"/>
          <w:sz w:val="44"/>
          <w:szCs w:val="44"/>
        </w:rPr>
      </w:pPr>
      <w:r>
        <w:rPr>
          <w:color w:val="000000"/>
        </w:rPr>
        <w:br w:type="page"/>
      </w:r>
      <w:bookmarkStart w:id="25" w:name="_Toc30136"/>
      <w:bookmarkStart w:id="26" w:name="_Toc34991468"/>
      <w:r>
        <w:rPr>
          <w:rFonts w:hint="eastAsia" w:ascii="宋体" w:hAnsi="宋体"/>
          <w:b w:val="0"/>
          <w:color w:val="000000"/>
          <w:sz w:val="21"/>
          <w:szCs w:val="21"/>
        </w:rPr>
        <w:t>附件8：报名投标确认函</w:t>
      </w:r>
      <w:bookmarkEnd w:id="25"/>
      <w:bookmarkEnd w:id="26"/>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0"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33"/>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33"/>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33"/>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33"/>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33"/>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33"/>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2"/>
        <w:rPr>
          <w:rFonts w:hint="default"/>
          <w:b/>
          <w:bCs/>
          <w:sz w:val="24"/>
          <w:szCs w:val="24"/>
          <w:lang w:val="en-US" w:eastAsia="zh-CN"/>
        </w:rPr>
      </w:pPr>
    </w:p>
    <w:sectPr>
      <w:pgSz w:w="11906" w:h="16838"/>
      <w:pgMar w:top="1134" w:right="1134" w:bottom="113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7A"/>
    <w:family w:val="auto"/>
    <w:pitch w:val="default"/>
    <w:sig w:usb0="800002BF" w:usb1="38CF7CFA" w:usb2="00000016" w:usb3="00000000" w:csb0="00040001" w:csb1="00000000"/>
  </w:font>
  <w:font w:name="Arial Unicode MS">
    <w:altName w:val="Arial"/>
    <w:panose1 w:val="020B0604020202020204"/>
    <w:charset w:val="7A"/>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7A"/>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ncho">
    <w:altName w:val="MS Mincho"/>
    <w:panose1 w:val="02020609040305080305"/>
    <w:charset w:val="80"/>
    <w:family w:val="roma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13</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rct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8yty3gEAAL4DAAAOAAAAAAAA&#10;AAEAIAAAAB4BAABkcnMvZTJvRG9jLnhtbFBLBQYAAAAABgAGAFkBAABuBQAAAAA=&#10;">
              <v:fill on="f" focussize="0,0"/>
              <v:stroke on="f"/>
              <v:imagedata o:title=""/>
              <o:lock v:ext="edit" aspectratio="f"/>
              <v:textbox inset="0mm,0mm,0mm,0mm" style="mso-fit-shape-to-text:t;">
                <w:txbxContent>
                  <w:p>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13</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bookmarkStart w:id="27" w:name="_GoBack"/>
    <w:bookmarkEnd w:id="27"/>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24</w:t>
                          </w:r>
                          <w:r>
                            <w:rPr>
                              <w:rFonts w:hint="eastAsia"/>
                              <w:lang w:eastAsia="zh-CN"/>
                            </w:rPr>
                            <w:t>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dLA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5h0sD3gEAAL4DAAAOAAAAAAAA&#10;AAEAIAAAAB4BAABkcnMvZTJvRG9jLnhtbFBLBQYAAAAABgAGAFkBAABu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24</w:t>
                    </w:r>
                    <w:r>
                      <w:rPr>
                        <w:rFonts w:hint="eastAsia"/>
                        <w:lang w:eastAsia="zh-CN"/>
                      </w:rPr>
                      <w:t>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2387600</wp:posOffset>
              </wp:positionH>
              <wp:positionV relativeFrom="paragraph">
                <wp:posOffset>-28575</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p>
                      </w:txbxContent>
                    </wps:txbx>
                    <wps:bodyPr wrap="none" lIns="0" tIns="0" rIns="0" bIns="0" upright="0">
                      <a:spAutoFit/>
                    </wps:bodyPr>
                  </wps:wsp>
                </a:graphicData>
              </a:graphic>
            </wp:anchor>
          </w:drawing>
        </mc:Choice>
        <mc:Fallback>
          <w:pict>
            <v:shape id="文本框 5" o:spid="_x0000_s1026" o:spt="202" type="#_x0000_t202" style="position:absolute;left:0pt;margin-left:188pt;margin-top:-2.25pt;height:144pt;width:144pt;mso-position-horizontal-relative:margin;mso-wrap-style:none;z-index:251659264;mso-width-relative:page;mso-height-relative:page;" filled="f" stroked="f" coordsize="21600,21600" o:gfxdata="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cfUYdcAAAAKAQAADwAAAAAAAAABACAAAAAiAAAAZHJzL2Rv&#10;d25yZXYueG1sUEsBAhQAFAAAAAgAh07iQALxe/vJAQAAmQMAAA4AAAAAAAAAAQAgAAAAJgEAAGRy&#10;cy9lMm9Eb2MueG1sUEsFBgAAAAAGAAYAWQEAAGEFAAAAAA==&#10;">
              <v:fill on="f" focussize="0,0"/>
              <v:stroke on="f"/>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0E29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OXnDlhaeDn79/OP36df35l&#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K4dBNvdAQAAvgMAAA4AAAAAAAAA&#10;AQAgAAAAHgEAAGRycy9lMm9Eb2MueG1sUEsFBgAAAAAGAAYAWQEAAG0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ZTdhOTk2ZDk1NjNkODFiN2RmYzM0MmE0ZmRiMGQifQ=="/>
  </w:docVars>
  <w:rsids>
    <w:rsidRoot w:val="00172A27"/>
    <w:rsid w:val="0013128F"/>
    <w:rsid w:val="0016297D"/>
    <w:rsid w:val="002A0D45"/>
    <w:rsid w:val="002A168A"/>
    <w:rsid w:val="003B79EE"/>
    <w:rsid w:val="0048357B"/>
    <w:rsid w:val="00553FC0"/>
    <w:rsid w:val="005B1E7A"/>
    <w:rsid w:val="005F4A55"/>
    <w:rsid w:val="00627822"/>
    <w:rsid w:val="006A73A5"/>
    <w:rsid w:val="00710E6A"/>
    <w:rsid w:val="00765F27"/>
    <w:rsid w:val="0083565C"/>
    <w:rsid w:val="00AB0AE8"/>
    <w:rsid w:val="00B6026B"/>
    <w:rsid w:val="00BC2FEA"/>
    <w:rsid w:val="00BE738B"/>
    <w:rsid w:val="00C14103"/>
    <w:rsid w:val="00CB26B5"/>
    <w:rsid w:val="00D54E13"/>
    <w:rsid w:val="00D938F0"/>
    <w:rsid w:val="00DD6EF9"/>
    <w:rsid w:val="00ED2967"/>
    <w:rsid w:val="00ED7EA5"/>
    <w:rsid w:val="00EF3D0F"/>
    <w:rsid w:val="00F90231"/>
    <w:rsid w:val="019F1377"/>
    <w:rsid w:val="01A24766"/>
    <w:rsid w:val="01A855B0"/>
    <w:rsid w:val="021D4C4E"/>
    <w:rsid w:val="02D5116A"/>
    <w:rsid w:val="043D08C1"/>
    <w:rsid w:val="04402605"/>
    <w:rsid w:val="0454100D"/>
    <w:rsid w:val="052F7D10"/>
    <w:rsid w:val="055B6FD1"/>
    <w:rsid w:val="06047761"/>
    <w:rsid w:val="06097A3C"/>
    <w:rsid w:val="063A7038"/>
    <w:rsid w:val="07621DB4"/>
    <w:rsid w:val="07B456E3"/>
    <w:rsid w:val="07C8750E"/>
    <w:rsid w:val="083453A1"/>
    <w:rsid w:val="08CE3BF8"/>
    <w:rsid w:val="09026697"/>
    <w:rsid w:val="09373F59"/>
    <w:rsid w:val="094F6FE5"/>
    <w:rsid w:val="097C6D88"/>
    <w:rsid w:val="098C5B2C"/>
    <w:rsid w:val="09B90184"/>
    <w:rsid w:val="09CD02EF"/>
    <w:rsid w:val="09EB10FA"/>
    <w:rsid w:val="0A2F16EA"/>
    <w:rsid w:val="0A341243"/>
    <w:rsid w:val="0A4A6C68"/>
    <w:rsid w:val="0A534AFF"/>
    <w:rsid w:val="0AC22F21"/>
    <w:rsid w:val="0BBE689D"/>
    <w:rsid w:val="0C633DF4"/>
    <w:rsid w:val="0CC036C4"/>
    <w:rsid w:val="0CD9710C"/>
    <w:rsid w:val="0CFD20E9"/>
    <w:rsid w:val="0D0C152E"/>
    <w:rsid w:val="0D471659"/>
    <w:rsid w:val="0D491507"/>
    <w:rsid w:val="0D597375"/>
    <w:rsid w:val="0DAF1416"/>
    <w:rsid w:val="0E98791D"/>
    <w:rsid w:val="0EEF68FE"/>
    <w:rsid w:val="0F457E1A"/>
    <w:rsid w:val="106B4B1A"/>
    <w:rsid w:val="10741C20"/>
    <w:rsid w:val="107A5C99"/>
    <w:rsid w:val="10B464C1"/>
    <w:rsid w:val="1124702B"/>
    <w:rsid w:val="115138DB"/>
    <w:rsid w:val="11550B46"/>
    <w:rsid w:val="1210511A"/>
    <w:rsid w:val="1235137B"/>
    <w:rsid w:val="124C5B94"/>
    <w:rsid w:val="124D3615"/>
    <w:rsid w:val="125D71D6"/>
    <w:rsid w:val="128611F1"/>
    <w:rsid w:val="129E6898"/>
    <w:rsid w:val="12BA749D"/>
    <w:rsid w:val="13334E3E"/>
    <w:rsid w:val="134925B4"/>
    <w:rsid w:val="1357734B"/>
    <w:rsid w:val="137C26A6"/>
    <w:rsid w:val="14154B41"/>
    <w:rsid w:val="141C0B09"/>
    <w:rsid w:val="14B77290"/>
    <w:rsid w:val="14C438F7"/>
    <w:rsid w:val="15887711"/>
    <w:rsid w:val="15BE4B4E"/>
    <w:rsid w:val="16294C3D"/>
    <w:rsid w:val="16B67CEF"/>
    <w:rsid w:val="16D063CD"/>
    <w:rsid w:val="170D314F"/>
    <w:rsid w:val="186243CB"/>
    <w:rsid w:val="18711F2D"/>
    <w:rsid w:val="18937825"/>
    <w:rsid w:val="18F6149B"/>
    <w:rsid w:val="197D71E0"/>
    <w:rsid w:val="19B932CE"/>
    <w:rsid w:val="19EF0419"/>
    <w:rsid w:val="1A426A57"/>
    <w:rsid w:val="1AB87E61"/>
    <w:rsid w:val="1B356531"/>
    <w:rsid w:val="1B394F38"/>
    <w:rsid w:val="1B415BC7"/>
    <w:rsid w:val="1BDC2202"/>
    <w:rsid w:val="1C42531B"/>
    <w:rsid w:val="1CEE5882"/>
    <w:rsid w:val="1D73355D"/>
    <w:rsid w:val="1E7F58AB"/>
    <w:rsid w:val="1EC91910"/>
    <w:rsid w:val="1EE86942"/>
    <w:rsid w:val="1FA7177B"/>
    <w:rsid w:val="1FDB2A52"/>
    <w:rsid w:val="202250E4"/>
    <w:rsid w:val="213D3D1E"/>
    <w:rsid w:val="219C3E4E"/>
    <w:rsid w:val="21AD1A6F"/>
    <w:rsid w:val="21B375EA"/>
    <w:rsid w:val="21F83ACE"/>
    <w:rsid w:val="2201510F"/>
    <w:rsid w:val="22B0032F"/>
    <w:rsid w:val="22F318F5"/>
    <w:rsid w:val="2314634E"/>
    <w:rsid w:val="23185E07"/>
    <w:rsid w:val="231B77CA"/>
    <w:rsid w:val="23930E10"/>
    <w:rsid w:val="23DA1C5E"/>
    <w:rsid w:val="241817FD"/>
    <w:rsid w:val="244F690F"/>
    <w:rsid w:val="245E118E"/>
    <w:rsid w:val="2461516A"/>
    <w:rsid w:val="246D02D3"/>
    <w:rsid w:val="24BC54EC"/>
    <w:rsid w:val="2598673B"/>
    <w:rsid w:val="25A073CB"/>
    <w:rsid w:val="25B73A98"/>
    <w:rsid w:val="25B81BF2"/>
    <w:rsid w:val="25DA6390"/>
    <w:rsid w:val="261B7BF5"/>
    <w:rsid w:val="264C0374"/>
    <w:rsid w:val="26555437"/>
    <w:rsid w:val="26621728"/>
    <w:rsid w:val="2663431E"/>
    <w:rsid w:val="26C8440C"/>
    <w:rsid w:val="270C1633"/>
    <w:rsid w:val="27277719"/>
    <w:rsid w:val="27F30A1D"/>
    <w:rsid w:val="281C3EDC"/>
    <w:rsid w:val="28724C6B"/>
    <w:rsid w:val="28A066B3"/>
    <w:rsid w:val="28CD1B01"/>
    <w:rsid w:val="28DC1311"/>
    <w:rsid w:val="290934C4"/>
    <w:rsid w:val="29203AE0"/>
    <w:rsid w:val="295D00EB"/>
    <w:rsid w:val="29785E86"/>
    <w:rsid w:val="29A53BD9"/>
    <w:rsid w:val="29BD599C"/>
    <w:rsid w:val="29D02628"/>
    <w:rsid w:val="2A4312E2"/>
    <w:rsid w:val="2A4E1097"/>
    <w:rsid w:val="2A64509A"/>
    <w:rsid w:val="2B1603FB"/>
    <w:rsid w:val="2B61096B"/>
    <w:rsid w:val="2B642A3F"/>
    <w:rsid w:val="2B8F4A20"/>
    <w:rsid w:val="2BCC3368"/>
    <w:rsid w:val="2C180974"/>
    <w:rsid w:val="2C44686F"/>
    <w:rsid w:val="2C4E043E"/>
    <w:rsid w:val="2CD269C1"/>
    <w:rsid w:val="2D1E75FC"/>
    <w:rsid w:val="2D515946"/>
    <w:rsid w:val="2D631AA7"/>
    <w:rsid w:val="2DA1586C"/>
    <w:rsid w:val="2DA26454"/>
    <w:rsid w:val="2DBC676A"/>
    <w:rsid w:val="2E057F04"/>
    <w:rsid w:val="2E542E4A"/>
    <w:rsid w:val="2EA641E0"/>
    <w:rsid w:val="2EDF00AC"/>
    <w:rsid w:val="2F4F0A2B"/>
    <w:rsid w:val="307750E9"/>
    <w:rsid w:val="30D43622"/>
    <w:rsid w:val="31253957"/>
    <w:rsid w:val="315756A0"/>
    <w:rsid w:val="31C35F31"/>
    <w:rsid w:val="31F77491"/>
    <w:rsid w:val="32233AFF"/>
    <w:rsid w:val="32364A13"/>
    <w:rsid w:val="32A27B1D"/>
    <w:rsid w:val="33D84BF1"/>
    <w:rsid w:val="33FF332F"/>
    <w:rsid w:val="343B62BD"/>
    <w:rsid w:val="355472EF"/>
    <w:rsid w:val="36054296"/>
    <w:rsid w:val="361C1100"/>
    <w:rsid w:val="36376D3A"/>
    <w:rsid w:val="365B261A"/>
    <w:rsid w:val="36757196"/>
    <w:rsid w:val="36F65422"/>
    <w:rsid w:val="37390436"/>
    <w:rsid w:val="37CA3313"/>
    <w:rsid w:val="38A13376"/>
    <w:rsid w:val="3930396C"/>
    <w:rsid w:val="39530BAF"/>
    <w:rsid w:val="397A76BD"/>
    <w:rsid w:val="3AEF3EC0"/>
    <w:rsid w:val="3B5360FF"/>
    <w:rsid w:val="3BF8186B"/>
    <w:rsid w:val="3C237E0E"/>
    <w:rsid w:val="3C395A10"/>
    <w:rsid w:val="3CF06E89"/>
    <w:rsid w:val="3CF859A1"/>
    <w:rsid w:val="3D171213"/>
    <w:rsid w:val="3D2F4793"/>
    <w:rsid w:val="3D913562"/>
    <w:rsid w:val="3E5A4F2A"/>
    <w:rsid w:val="3EDF60AD"/>
    <w:rsid w:val="3F4B1434"/>
    <w:rsid w:val="3F6F01A1"/>
    <w:rsid w:val="40934AE6"/>
    <w:rsid w:val="40CF6436"/>
    <w:rsid w:val="40D530FA"/>
    <w:rsid w:val="40DB0E9D"/>
    <w:rsid w:val="410C2859"/>
    <w:rsid w:val="41321329"/>
    <w:rsid w:val="41AD2AF3"/>
    <w:rsid w:val="42CF78F9"/>
    <w:rsid w:val="434A5220"/>
    <w:rsid w:val="43605E98"/>
    <w:rsid w:val="4377495F"/>
    <w:rsid w:val="43DB5537"/>
    <w:rsid w:val="441421FA"/>
    <w:rsid w:val="44526D84"/>
    <w:rsid w:val="44620256"/>
    <w:rsid w:val="44663FD5"/>
    <w:rsid w:val="449C23F7"/>
    <w:rsid w:val="44B26A2D"/>
    <w:rsid w:val="455E1CB7"/>
    <w:rsid w:val="4567157B"/>
    <w:rsid w:val="45FE3B3E"/>
    <w:rsid w:val="46561111"/>
    <w:rsid w:val="46B934AA"/>
    <w:rsid w:val="47691236"/>
    <w:rsid w:val="47C33D64"/>
    <w:rsid w:val="48427933"/>
    <w:rsid w:val="48B37F53"/>
    <w:rsid w:val="48C24755"/>
    <w:rsid w:val="490354A4"/>
    <w:rsid w:val="499814CB"/>
    <w:rsid w:val="4A147AAA"/>
    <w:rsid w:val="4A17661B"/>
    <w:rsid w:val="4B68562E"/>
    <w:rsid w:val="4BF71632"/>
    <w:rsid w:val="4C0E2E24"/>
    <w:rsid w:val="4C5835CD"/>
    <w:rsid w:val="4CDF3DAE"/>
    <w:rsid w:val="4CFD207A"/>
    <w:rsid w:val="4D5634F0"/>
    <w:rsid w:val="4D855962"/>
    <w:rsid w:val="4E5F260F"/>
    <w:rsid w:val="4E932EF7"/>
    <w:rsid w:val="4EA2157C"/>
    <w:rsid w:val="4EA823BF"/>
    <w:rsid w:val="4EB86400"/>
    <w:rsid w:val="4EBF24DC"/>
    <w:rsid w:val="4F286C6E"/>
    <w:rsid w:val="4FC26FD8"/>
    <w:rsid w:val="507E7B06"/>
    <w:rsid w:val="50831BA8"/>
    <w:rsid w:val="51B428BB"/>
    <w:rsid w:val="523B4F77"/>
    <w:rsid w:val="524F2AE6"/>
    <w:rsid w:val="526A7EBB"/>
    <w:rsid w:val="52F253D2"/>
    <w:rsid w:val="533756FE"/>
    <w:rsid w:val="53527ADD"/>
    <w:rsid w:val="53654E99"/>
    <w:rsid w:val="541067DE"/>
    <w:rsid w:val="542B19DF"/>
    <w:rsid w:val="5440637F"/>
    <w:rsid w:val="54572A24"/>
    <w:rsid w:val="552349BA"/>
    <w:rsid w:val="55324FD5"/>
    <w:rsid w:val="55713EA5"/>
    <w:rsid w:val="55FB168B"/>
    <w:rsid w:val="565D11D3"/>
    <w:rsid w:val="56783CA4"/>
    <w:rsid w:val="5872464D"/>
    <w:rsid w:val="592148B2"/>
    <w:rsid w:val="595F550E"/>
    <w:rsid w:val="59841A6C"/>
    <w:rsid w:val="59B5095F"/>
    <w:rsid w:val="59BB6643"/>
    <w:rsid w:val="5B3D0A3D"/>
    <w:rsid w:val="5B4D60DD"/>
    <w:rsid w:val="5C710F00"/>
    <w:rsid w:val="5D283146"/>
    <w:rsid w:val="5DB2693C"/>
    <w:rsid w:val="5E176F6C"/>
    <w:rsid w:val="5EA723C1"/>
    <w:rsid w:val="5EB1128B"/>
    <w:rsid w:val="5ECE6A27"/>
    <w:rsid w:val="5F1E1E39"/>
    <w:rsid w:val="5FF02075"/>
    <w:rsid w:val="60322C3E"/>
    <w:rsid w:val="607A6756"/>
    <w:rsid w:val="60931F51"/>
    <w:rsid w:val="60B97608"/>
    <w:rsid w:val="61E12E8F"/>
    <w:rsid w:val="623E6F65"/>
    <w:rsid w:val="62525FDC"/>
    <w:rsid w:val="62A019CE"/>
    <w:rsid w:val="63332414"/>
    <w:rsid w:val="63590D8D"/>
    <w:rsid w:val="63AA0C23"/>
    <w:rsid w:val="63D05A7D"/>
    <w:rsid w:val="63E17467"/>
    <w:rsid w:val="63E33881"/>
    <w:rsid w:val="641649C3"/>
    <w:rsid w:val="65196020"/>
    <w:rsid w:val="65490CCF"/>
    <w:rsid w:val="65A672FB"/>
    <w:rsid w:val="65A9470B"/>
    <w:rsid w:val="65B62191"/>
    <w:rsid w:val="660A5ADC"/>
    <w:rsid w:val="6630507C"/>
    <w:rsid w:val="668621CD"/>
    <w:rsid w:val="66DE0BEC"/>
    <w:rsid w:val="67216C64"/>
    <w:rsid w:val="67296DEE"/>
    <w:rsid w:val="67710EC2"/>
    <w:rsid w:val="679F3F90"/>
    <w:rsid w:val="67C420EC"/>
    <w:rsid w:val="68C1536C"/>
    <w:rsid w:val="68F14093"/>
    <w:rsid w:val="69B732D3"/>
    <w:rsid w:val="69BE5740"/>
    <w:rsid w:val="69CF7AA8"/>
    <w:rsid w:val="69D91898"/>
    <w:rsid w:val="69ED55C4"/>
    <w:rsid w:val="6A084229"/>
    <w:rsid w:val="6A47443F"/>
    <w:rsid w:val="6A704E4D"/>
    <w:rsid w:val="6A8802FD"/>
    <w:rsid w:val="6B6C5E65"/>
    <w:rsid w:val="6B6C6442"/>
    <w:rsid w:val="6BC95674"/>
    <w:rsid w:val="6BCD2E4B"/>
    <w:rsid w:val="6BD93380"/>
    <w:rsid w:val="6C58305E"/>
    <w:rsid w:val="6CD877C3"/>
    <w:rsid w:val="6CE62238"/>
    <w:rsid w:val="6D083A72"/>
    <w:rsid w:val="6D0A5CAF"/>
    <w:rsid w:val="6D2D0C8B"/>
    <w:rsid w:val="6D495FDA"/>
    <w:rsid w:val="6D7B3162"/>
    <w:rsid w:val="6D950140"/>
    <w:rsid w:val="6D970D57"/>
    <w:rsid w:val="6DA92028"/>
    <w:rsid w:val="6E334459"/>
    <w:rsid w:val="6E526702"/>
    <w:rsid w:val="6EB14D27"/>
    <w:rsid w:val="6EE61C16"/>
    <w:rsid w:val="701B36A3"/>
    <w:rsid w:val="710E37CC"/>
    <w:rsid w:val="714D0F73"/>
    <w:rsid w:val="71571031"/>
    <w:rsid w:val="71CC3F4A"/>
    <w:rsid w:val="721B2E1F"/>
    <w:rsid w:val="72742772"/>
    <w:rsid w:val="72F95359"/>
    <w:rsid w:val="73881A17"/>
    <w:rsid w:val="73D004E0"/>
    <w:rsid w:val="73DA1821"/>
    <w:rsid w:val="73F4732B"/>
    <w:rsid w:val="73F6442E"/>
    <w:rsid w:val="73FD4439"/>
    <w:rsid w:val="740562FE"/>
    <w:rsid w:val="74931DF2"/>
    <w:rsid w:val="74B93994"/>
    <w:rsid w:val="752F7BD7"/>
    <w:rsid w:val="75792369"/>
    <w:rsid w:val="769B675D"/>
    <w:rsid w:val="76BC5BAB"/>
    <w:rsid w:val="76F42267"/>
    <w:rsid w:val="775F465A"/>
    <w:rsid w:val="781E5978"/>
    <w:rsid w:val="783525C6"/>
    <w:rsid w:val="78397A93"/>
    <w:rsid w:val="78437B21"/>
    <w:rsid w:val="788B6B86"/>
    <w:rsid w:val="78BE60C3"/>
    <w:rsid w:val="79446C00"/>
    <w:rsid w:val="79D60F3B"/>
    <w:rsid w:val="7A1F046A"/>
    <w:rsid w:val="7A7F02CC"/>
    <w:rsid w:val="7A7F0A85"/>
    <w:rsid w:val="7A96762C"/>
    <w:rsid w:val="7ABC503A"/>
    <w:rsid w:val="7B126B35"/>
    <w:rsid w:val="7B2804C2"/>
    <w:rsid w:val="7B7151ED"/>
    <w:rsid w:val="7BC05A2E"/>
    <w:rsid w:val="7C12239B"/>
    <w:rsid w:val="7C6E4C57"/>
    <w:rsid w:val="7C727ADF"/>
    <w:rsid w:val="7CCF7310"/>
    <w:rsid w:val="7CD716DA"/>
    <w:rsid w:val="7CE73678"/>
    <w:rsid w:val="7DD60CA7"/>
    <w:rsid w:val="7E0E6F44"/>
    <w:rsid w:val="7E30762C"/>
    <w:rsid w:val="7ED56104"/>
    <w:rsid w:val="7EF36718"/>
    <w:rsid w:val="7F123290"/>
    <w:rsid w:val="7F615A6F"/>
    <w:rsid w:val="7F7E58BB"/>
    <w:rsid w:val="7F802893"/>
    <w:rsid w:val="7FCB5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uiPriority w:val="0"/>
    <w:pPr>
      <w:keepNext/>
      <w:keepLines/>
      <w:spacing w:before="260" w:beforeLines="0" w:after="260" w:afterLines="0" w:line="416" w:lineRule="auto"/>
      <w:outlineLvl w:val="1"/>
    </w:pPr>
    <w:rPr>
      <w:rFonts w:ascii="Arial" w:hAnsi="Arial" w:eastAsia="黑体" w:cs="Times New Roman"/>
      <w:b/>
      <w:bCs/>
      <w:kern w:val="0"/>
      <w:sz w:val="32"/>
      <w:szCs w:val="32"/>
    </w:rPr>
  </w:style>
  <w:style w:type="paragraph" w:styleId="5">
    <w:name w:val="heading 4"/>
    <w:basedOn w:val="1"/>
    <w:next w:val="1"/>
    <w:uiPriority w:val="0"/>
    <w:pPr>
      <w:keepNext/>
      <w:spacing w:line="360" w:lineRule="auto"/>
      <w:outlineLvl w:val="3"/>
    </w:pPr>
    <w:rPr>
      <w:rFonts w:ascii="Arial" w:hAnsi="Arial" w:eastAsia="宋体" w:cs="Times New Roman"/>
      <w:b/>
      <w:sz w:val="24"/>
    </w:rPr>
  </w:style>
  <w:style w:type="character" w:default="1" w:styleId="18">
    <w:name w:val="Default Paragraph Font"/>
    <w:uiPriority w:val="0"/>
    <w:rPr>
      <w:rFonts w:ascii="Times New Roman" w:hAnsi="Times New Roman" w:eastAsia="宋体" w:cs="Times New Roman"/>
    </w:rPr>
  </w:style>
  <w:style w:type="table" w:default="1" w:styleId="16">
    <w:name w:val="Normal Table"/>
    <w:uiPriority w:val="0"/>
    <w:rPr>
      <w:rFonts w:ascii="Times New Roman" w:hAnsi="Times New Roman" w:eastAsia="宋体" w:cs="Times New Roman"/>
    </w:rPr>
    <w:tblPr>
      <w:tblStyle w:val="16"/>
      <w:tblCellMar>
        <w:top w:w="0" w:type="dxa"/>
        <w:left w:w="108" w:type="dxa"/>
        <w:bottom w:w="0" w:type="dxa"/>
        <w:right w:w="108" w:type="dxa"/>
      </w:tblCellMar>
    </w:tblPr>
  </w:style>
  <w:style w:type="paragraph" w:customStyle="1" w:styleId="2">
    <w:name w:val="列出段落1"/>
    <w:basedOn w:val="1"/>
    <w:uiPriority w:val="0"/>
    <w:pPr>
      <w:spacing w:before="100" w:beforeAutospacing="1" w:after="200" w:line="273" w:lineRule="auto"/>
      <w:ind w:left="720"/>
      <w:contextualSpacing/>
    </w:pPr>
    <w:rPr>
      <w:rFonts w:ascii="Calibri" w:hAnsi="Calibri" w:eastAsia="宋体" w:cs="Times New Roman"/>
      <w:sz w:val="22"/>
      <w:szCs w:val="22"/>
    </w:rPr>
  </w:style>
  <w:style w:type="paragraph" w:styleId="6">
    <w:name w:val="Normal Indent"/>
    <w:basedOn w:val="1"/>
    <w:uiPriority w:val="0"/>
    <w:pPr>
      <w:ind w:firstLine="420"/>
    </w:pPr>
    <w:rPr>
      <w:rFonts w:ascii="Times New Roman" w:hAnsi="Times New Roman" w:eastAsia="宋体" w:cs="Times New Roman"/>
      <w:kern w:val="2"/>
      <w:sz w:val="21"/>
      <w:lang w:val="en-US" w:eastAsia="zh-CN" w:bidi="ar-SA"/>
    </w:rPr>
  </w:style>
  <w:style w:type="paragraph" w:styleId="7">
    <w:name w:val="Document Map"/>
    <w:basedOn w:val="1"/>
    <w:link w:val="22"/>
    <w:uiPriority w:val="0"/>
    <w:rPr>
      <w:rFonts w:ascii="宋体" w:hAnsi="Times New Roman" w:eastAsia="宋体" w:cs="Times New Roman"/>
      <w:sz w:val="18"/>
      <w:szCs w:val="18"/>
    </w:rPr>
  </w:style>
  <w:style w:type="paragraph" w:styleId="8">
    <w:name w:val="Body Text"/>
    <w:basedOn w:val="1"/>
    <w:link w:val="23"/>
    <w:uiPriority w:val="0"/>
    <w:pPr>
      <w:widowControl/>
      <w:jc w:val="left"/>
    </w:pPr>
    <w:rPr>
      <w:rFonts w:ascii="Arial Unicode MS" w:hAnsi="Arial Unicode MS" w:eastAsia="Arial Unicode MS" w:cs="Arial Unicode MS"/>
      <w:color w:val="000000"/>
      <w:kern w:val="0"/>
      <w:sz w:val="24"/>
      <w:szCs w:val="24"/>
    </w:rPr>
  </w:style>
  <w:style w:type="paragraph" w:styleId="9">
    <w:name w:val="Body Text Indent"/>
    <w:basedOn w:val="1"/>
    <w:link w:val="24"/>
    <w:uiPriority w:val="0"/>
    <w:pPr>
      <w:ind w:firstLine="359" w:firstLineChars="171"/>
    </w:pPr>
    <w:rPr>
      <w:rFonts w:ascii="Arial Unicode MS" w:hAnsi="Arial Unicode MS" w:eastAsia="宋体" w:cs="Arial Unicode MS"/>
      <w:szCs w:val="21"/>
    </w:rPr>
  </w:style>
  <w:style w:type="paragraph" w:styleId="10">
    <w:name w:val="Plain Text"/>
    <w:basedOn w:val="1"/>
    <w:link w:val="25"/>
    <w:uiPriority w:val="0"/>
    <w:pPr>
      <w:spacing w:line="300" w:lineRule="auto"/>
    </w:pPr>
    <w:rPr>
      <w:rFonts w:ascii="宋体" w:hAnsi="Courier New" w:eastAsia="宋体" w:cs="Courier New"/>
      <w:kern w:val="0"/>
      <w:sz w:val="20"/>
      <w:szCs w:val="21"/>
    </w:rPr>
  </w:style>
  <w:style w:type="paragraph" w:styleId="11">
    <w:name w:val="Date"/>
    <w:basedOn w:val="1"/>
    <w:next w:val="1"/>
    <w:uiPriority w:val="0"/>
    <w:pPr>
      <w:ind w:left="100"/>
    </w:pPr>
    <w:rPr>
      <w:rFonts w:ascii="Times New Roman" w:hAnsi="Times New Roman" w:eastAsia="宋体" w:cs="Times New Roman"/>
      <w:sz w:val="28"/>
    </w:rPr>
  </w:style>
  <w:style w:type="paragraph" w:styleId="12">
    <w:name w:val="footer"/>
    <w:basedOn w:val="1"/>
    <w:uiPriority w:val="0"/>
    <w:pPr>
      <w:tabs>
        <w:tab w:val="center" w:pos="4153"/>
        <w:tab w:val="right" w:pos="8306"/>
      </w:tabs>
      <w:snapToGrid w:val="0"/>
      <w:jc w:val="left"/>
    </w:pPr>
    <w:rPr>
      <w:rFonts w:ascii="Calibri" w:hAnsi="Calibri" w:eastAsia="宋体" w:cs="Times New Roman"/>
      <w:kern w:val="0"/>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4">
    <w:name w:val="toc 2"/>
    <w:basedOn w:val="1"/>
    <w:next w:val="1"/>
    <w:uiPriority w:val="0"/>
    <w:pPr>
      <w:ind w:left="420" w:leftChars="200"/>
    </w:pPr>
    <w:rPr>
      <w:rFonts w:ascii="Times New Roman" w:hAnsi="Times New Roman" w:eastAsia="宋体" w:cs="Times New Roman"/>
    </w:rPr>
  </w:style>
  <w:style w:type="paragraph" w:styleId="15">
    <w:name w:val="Normal (Web)"/>
    <w:basedOn w:val="1"/>
    <w:uiPriority w:val="0"/>
    <w:pPr>
      <w:spacing w:beforeAutospacing="1" w:afterAutospacing="1"/>
      <w:jc w:val="left"/>
    </w:pPr>
    <w:rPr>
      <w:rFonts w:ascii="Calibri" w:hAnsi="Calibri" w:eastAsia="宋体" w:cs="Times New Roman"/>
      <w:kern w:val="0"/>
      <w:sz w:val="24"/>
    </w:rPr>
  </w:style>
  <w:style w:type="table" w:styleId="17">
    <w:name w:val="Table Grid"/>
    <w:basedOn w:val="16"/>
    <w:uiPriority w:val="0"/>
    <w:pPr>
      <w:widowControl w:val="0"/>
      <w:jc w:val="both"/>
    </w:pPr>
    <w:rPr>
      <w:rFonts w:ascii="Times New Roman" w:hAnsi="Times New Roman" w:eastAsia="宋体" w:cs="Times New Roman"/>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uiPriority w:val="0"/>
    <w:rPr>
      <w:rFonts w:ascii="Times New Roman" w:hAnsi="Times New Roman" w:eastAsia="宋体" w:cs="Times New Roman"/>
      <w:b/>
      <w:bCs/>
    </w:rPr>
  </w:style>
  <w:style w:type="character" w:styleId="20">
    <w:name w:val="page number"/>
    <w:basedOn w:val="18"/>
    <w:uiPriority w:val="0"/>
    <w:rPr>
      <w:rFonts w:ascii="Times New Roman" w:hAnsi="Times New Roman" w:eastAsia="宋体" w:cs="Times New Roman"/>
    </w:rPr>
  </w:style>
  <w:style w:type="character" w:styleId="21">
    <w:name w:val="Hyperlink"/>
    <w:basedOn w:val="18"/>
    <w:uiPriority w:val="0"/>
    <w:rPr>
      <w:rFonts w:ascii="Times New Roman" w:hAnsi="Times New Roman" w:eastAsia="宋体" w:cs="Times New Roman"/>
      <w:color w:val="0000FF"/>
      <w:u w:val="single"/>
    </w:rPr>
  </w:style>
  <w:style w:type="character" w:customStyle="1" w:styleId="22">
    <w:name w:val="文档结构图 Char"/>
    <w:basedOn w:val="18"/>
    <w:link w:val="7"/>
    <w:uiPriority w:val="0"/>
    <w:rPr>
      <w:rFonts w:ascii="宋体" w:hAnsi="Times New Roman" w:eastAsia="宋体" w:cs="Times New Roman"/>
      <w:kern w:val="2"/>
      <w:sz w:val="18"/>
      <w:szCs w:val="18"/>
    </w:rPr>
  </w:style>
  <w:style w:type="character" w:customStyle="1" w:styleId="23">
    <w:name w:val="正文文本 Char"/>
    <w:basedOn w:val="18"/>
    <w:link w:val="8"/>
    <w:uiPriority w:val="0"/>
    <w:rPr>
      <w:rFonts w:ascii="Arial Unicode MS" w:hAnsi="Arial Unicode MS" w:eastAsia="Arial Unicode MS" w:cs="Arial Unicode MS"/>
      <w:color w:val="000000"/>
      <w:kern w:val="0"/>
      <w:sz w:val="24"/>
      <w:szCs w:val="24"/>
    </w:rPr>
  </w:style>
  <w:style w:type="character" w:customStyle="1" w:styleId="24">
    <w:name w:val="正文文本缩进 Char"/>
    <w:basedOn w:val="18"/>
    <w:link w:val="9"/>
    <w:uiPriority w:val="0"/>
    <w:rPr>
      <w:rFonts w:ascii="Arial Unicode MS" w:hAnsi="Arial Unicode MS" w:eastAsia="宋体" w:cs="Arial Unicode MS"/>
      <w:szCs w:val="21"/>
    </w:rPr>
  </w:style>
  <w:style w:type="character" w:customStyle="1" w:styleId="25">
    <w:name w:val="纯文本 Char1"/>
    <w:basedOn w:val="18"/>
    <w:link w:val="10"/>
    <w:uiPriority w:val="0"/>
    <w:rPr>
      <w:rFonts w:ascii="宋体" w:hAnsi="Courier New" w:eastAsia="宋体" w:cs="Courier New"/>
      <w:szCs w:val="21"/>
    </w:rPr>
  </w:style>
  <w:style w:type="character" w:customStyle="1" w:styleId="26">
    <w:name w:val="纯文本 Char"/>
    <w:basedOn w:val="18"/>
    <w:uiPriority w:val="0"/>
    <w:rPr>
      <w:rFonts w:ascii="宋体" w:hAnsi="Courier New" w:eastAsia="宋体" w:cs="Courier New"/>
      <w:kern w:val="2"/>
      <w:sz w:val="21"/>
      <w:szCs w:val="21"/>
    </w:rPr>
  </w:style>
  <w:style w:type="character" w:customStyle="1" w:styleId="27">
    <w:name w:val="font01"/>
    <w:basedOn w:val="18"/>
    <w:uiPriority w:val="0"/>
    <w:rPr>
      <w:rFonts w:hint="eastAsia" w:ascii="宋体" w:hAnsi="宋体" w:eastAsia="宋体" w:cs="宋体"/>
      <w:color w:val="000000"/>
      <w:sz w:val="18"/>
      <w:szCs w:val="18"/>
      <w:u w:val="none"/>
    </w:rPr>
  </w:style>
  <w:style w:type="character" w:customStyle="1" w:styleId="28">
    <w:name w:val="标题 1 Char Char"/>
    <w:basedOn w:val="18"/>
    <w:uiPriority w:val="0"/>
    <w:rPr>
      <w:rFonts w:ascii="Times New Roman" w:hAnsi="Times New Roman" w:eastAsia="宋体" w:cs="Times New Roman"/>
      <w:b/>
      <w:spacing w:val="-2"/>
      <w:sz w:val="24"/>
      <w:lang w:val="en-US" w:eastAsia="zh-CN" w:bidi="ar-SA"/>
    </w:rPr>
  </w:style>
  <w:style w:type="paragraph" w:customStyle="1" w:styleId="29">
    <w:name w:val="表"/>
    <w:basedOn w:val="1"/>
    <w:next w:val="1"/>
    <w:uiPriority w:val="0"/>
    <w:pPr>
      <w:widowControl/>
      <w:jc w:val="center"/>
    </w:pPr>
    <w:rPr>
      <w:rFonts w:ascii="Times New Roman" w:hAnsi="Times New Roman" w:eastAsia="宋体" w:cs="Times New Roman"/>
      <w:szCs w:val="21"/>
    </w:rPr>
  </w:style>
  <w:style w:type="paragraph" w:customStyle="1" w:styleId="30">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1">
    <w:name w:val=" Char Char1 Char Char Char Char Char Char Char"/>
    <w:basedOn w:val="1"/>
    <w:uiPriority w:val="0"/>
    <w:rPr>
      <w:rFonts w:ascii="Times New Roman" w:hAnsi="Times New Roman" w:eastAsia="宋体" w:cs="Times New Roman"/>
    </w:rPr>
  </w:style>
  <w:style w:type="paragraph" w:customStyle="1" w:styleId="32">
    <w:name w:val="表 靠左"/>
    <w:basedOn w:val="1"/>
    <w:uiPriority w:val="0"/>
    <w:pPr>
      <w:jc w:val="left"/>
    </w:pPr>
    <w:rPr>
      <w:rFonts w:ascii="Times New Roman" w:hAnsi="Times New Roman" w:eastAsia="宋体" w:cs="Times New Roman"/>
    </w:rPr>
  </w:style>
  <w:style w:type="paragraph" w:customStyle="1" w:styleId="33">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34">
    <w:name w:val="flName"/>
    <w:basedOn w:val="1"/>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customStyle="1" w:styleId="35">
    <w:name w:val="p0"/>
    <w:uiPriority w:val="0"/>
    <w:rPr>
      <w:rFonts w:ascii="Times New Roman" w:hAnsi="Times New Roman" w:eastAsia="宋体" w:cs="Times New Roman"/>
      <w:sz w:val="21"/>
      <w:szCs w:val="21"/>
      <w:lang w:val="en-US" w:eastAsia="zh-CN" w:bidi="ar-SA"/>
    </w:rPr>
  </w:style>
  <w:style w:type="paragraph" w:customStyle="1" w:styleId="36">
    <w:name w:val="标准段落"/>
    <w:basedOn w:val="1"/>
    <w:qFormat/>
    <w:uiPriority w:val="0"/>
    <w:pPr>
      <w:widowControl w:val="0"/>
      <w:adjustRightInd w:val="0"/>
      <w:spacing w:beforeLines="50" w:afterLines="50" w:line="300" w:lineRule="auto"/>
      <w:ind w:left="0" w:firstLine="454"/>
      <w:jc w:val="left"/>
    </w:pPr>
    <w:rPr>
      <w:sz w:val="24"/>
    </w:rPr>
  </w:style>
  <w:style w:type="paragraph" w:customStyle="1" w:styleId="37">
    <w:name w:val="列出段落2"/>
    <w:basedOn w:val="1"/>
    <w:uiPriority w:val="0"/>
    <w:pPr>
      <w:ind w:firstLine="420"/>
    </w:pPr>
    <w:rPr>
      <w:rFonts w:ascii="Times New Roman" w:hAnsi="Times New Roman" w:eastAsia="宋体" w:cs="Times New Roman"/>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styleId="39">
    <w:name w:val="List Paragraph"/>
    <w:basedOn w:val="1"/>
    <w:uiPriority w:val="0"/>
    <w:pPr>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南通理工学院</Company>
  <Pages>24</Pages>
  <Words>10694</Words>
  <Characters>11194</Characters>
  <Lines>132</Lines>
  <Paragraphs>37</Paragraphs>
  <TotalTime>9</TotalTime>
  <ScaleCrop>false</ScaleCrop>
  <LinksUpToDate>false</LinksUpToDate>
  <CharactersWithSpaces>11941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2015-12-01T06:38:00Z</dcterms:created>
  <dc:creator>陆霞</dc:creator>
  <cp:lastModifiedBy>晴</cp:lastModifiedBy>
  <cp:lastPrinted>2017-05-22T09:08:41Z</cp:lastPrinted>
  <dcterms:modified xsi:type="dcterms:W3CDTF">2023-05-31T01:55:33Z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0843269307384CBCA7F585A3E8B06158_13</vt:lpwstr>
  </property>
</Properties>
</file>