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ind w:left="4176" w:hanging="4176" w:hangingChars="1300"/>
        <w:rPr>
          <w:rFonts w:hint="default"/>
          <w:szCs w:val="21"/>
          <w:lang w:val="en-US"/>
        </w:rPr>
      </w:pPr>
      <w:r>
        <w:rPr>
          <w:rFonts w:hint="eastAsia" w:ascii="宋体" w:hAnsi="宋体" w:cs="宋体"/>
          <w:b/>
          <w:bCs/>
          <w:sz w:val="32"/>
          <w:szCs w:val="32"/>
        </w:rPr>
        <w:t xml:space="preserve">   项目名称：</w:t>
      </w:r>
      <w:r>
        <w:rPr>
          <w:rFonts w:hint="eastAsia"/>
          <w:b/>
          <w:bCs/>
          <w:sz w:val="32"/>
          <w:szCs w:val="32"/>
          <w:lang w:val="en-US" w:eastAsia="zh-CN"/>
        </w:rPr>
        <w:t>诊断与健康评估实验室心肺听诊腹部触诊模型单一来源采购</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ZCZB2023011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13</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sz w:val="30"/>
          <w:szCs w:val="30"/>
          <w:lang w:val="en-US" w:eastAsia="zh-CN"/>
        </w:rPr>
        <w:t>单一来源</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sz w:val="28"/>
          <w:szCs w:val="28"/>
        </w:rPr>
      </w:pPr>
    </w:p>
    <w:p>
      <w:pPr>
        <w:ind w:firstLine="480" w:firstLineChars="200"/>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健康医学院诊断与健康评估实验室心肺听诊腹部触诊模型</w:t>
      </w:r>
      <w:r>
        <w:rPr>
          <w:rFonts w:hint="eastAsia" w:ascii="仿宋" w:hAnsi="仿宋" w:eastAsia="仿宋" w:cs="仿宋"/>
          <w:sz w:val="24"/>
        </w:rPr>
        <w:t>进行</w:t>
      </w:r>
      <w:r>
        <w:rPr>
          <w:rFonts w:hint="eastAsia" w:ascii="仿宋" w:hAnsi="仿宋" w:eastAsia="仿宋" w:cs="仿宋"/>
          <w:color w:val="FF0000"/>
          <w:sz w:val="24"/>
          <w:lang w:val="en-US" w:eastAsia="zh-CN"/>
        </w:rPr>
        <w:t>单一来源采购</w:t>
      </w:r>
      <w:r>
        <w:rPr>
          <w:rFonts w:hint="eastAsia" w:ascii="仿宋" w:hAnsi="仿宋" w:eastAsia="仿宋" w:cs="仿宋"/>
          <w:sz w:val="24"/>
        </w:rPr>
        <w:t>，欢迎具备相应资质和实力的投标单位参加投标。现将有关事项公告如下：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健康医学院诊断与健康评估实验室建设</w:t>
      </w:r>
      <w:r>
        <w:rPr>
          <w:rFonts w:hint="eastAsia" w:ascii="仿宋" w:hAnsi="仿宋" w:eastAsia="仿宋" w:cs="仿宋"/>
          <w:sz w:val="24"/>
        </w:rPr>
        <w:t>项目。</w:t>
      </w:r>
    </w:p>
    <w:p>
      <w:pPr>
        <w:spacing w:line="360" w:lineRule="exact"/>
        <w:ind w:left="-1" w:firstLine="480" w:firstLineChars="200"/>
        <w:rPr>
          <w:rFonts w:hint="default" w:ascii="仿宋" w:hAnsi="仿宋" w:eastAsia="仿宋" w:cs="仿宋"/>
          <w:sz w:val="24"/>
          <w:lang w:val="en-US"/>
        </w:rPr>
      </w:pPr>
      <w:r>
        <w:rPr>
          <w:rFonts w:hint="eastAsia" w:ascii="仿宋" w:hAnsi="仿宋" w:eastAsia="仿宋" w:cs="仿宋"/>
          <w:sz w:val="24"/>
        </w:rPr>
        <w:t>2、招标内容：</w:t>
      </w:r>
      <w:r>
        <w:rPr>
          <w:rFonts w:hint="eastAsia" w:ascii="仿宋" w:hAnsi="仿宋" w:eastAsia="仿宋" w:cs="仿宋"/>
          <w:b w:val="0"/>
          <w:i w:val="0"/>
          <w:caps w:val="0"/>
          <w:color w:val="auto"/>
          <w:spacing w:val="0"/>
          <w:kern w:val="0"/>
          <w:sz w:val="24"/>
          <w:szCs w:val="24"/>
          <w:lang w:val="en-US" w:eastAsia="zh-CN" w:bidi="ar"/>
        </w:rPr>
        <w:t>具体采购内容及技术参数要求详见招标文件</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健康医学院教学楼410</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333333"/>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sz w:val="24"/>
          <w:highlight w:val="none"/>
        </w:rPr>
        <w:t>人民币</w:t>
      </w:r>
      <w:r>
        <w:rPr>
          <w:rFonts w:hint="eastAsia" w:ascii="仿宋" w:hAnsi="仿宋" w:eastAsia="仿宋" w:cs="仿宋"/>
          <w:color w:val="FF0000"/>
          <w:sz w:val="24"/>
          <w:highlight w:val="none"/>
          <w:lang w:val="en-US" w:eastAsia="zh-CN"/>
        </w:rPr>
        <w:t>1000</w:t>
      </w:r>
      <w:r>
        <w:rPr>
          <w:rFonts w:hint="eastAsia" w:ascii="仿宋" w:hAnsi="仿宋" w:eastAsia="仿宋" w:cs="仿宋"/>
          <w:sz w:val="24"/>
          <w:highlight w:val="none"/>
        </w:rPr>
        <w:t>元（支付宝，支付宝账号：</w:t>
      </w:r>
      <w:r>
        <w:rPr>
          <w:rFonts w:hint="eastAsia" w:ascii="仿宋" w:hAnsi="仿宋" w:eastAsia="仿宋" w:cs="仿宋"/>
          <w:sz w:val="24"/>
          <w:highlight w:val="none"/>
          <w:lang w:val="en-US" w:eastAsia="zh-CN"/>
        </w:rPr>
        <w:t>18851411506【任**】</w:t>
      </w:r>
      <w:r>
        <w:rPr>
          <w:rFonts w:hint="eastAsia" w:ascii="仿宋" w:hAnsi="仿宋" w:eastAsia="仿宋" w:cs="仿宋"/>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10000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9:00-</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bookmarkStart w:id="53" w:name="_GoBack"/>
      <w:bookmarkEnd w:id="53"/>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u w:val="none"/>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u w:val="none"/>
          <w:lang w:val="en-US" w:eastAsia="zh-CN" w:bidi="ar-SA"/>
        </w:rPr>
        <w:t>管老师 13962911098</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满足招标文件原厂质保三年得1分，在此的基础上所有设备同时每延长一年加1分，最多加2分。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sz w:val="24"/>
          <w:szCs w:val="24"/>
          <w:lang w:val="en-US" w:eastAsia="zh-CN"/>
        </w:rPr>
        <w:t>10</w:t>
      </w:r>
      <w:r>
        <w:rPr>
          <w:rFonts w:hint="eastAsia" w:ascii="宋体" w:hAnsi="宋体" w:eastAsia="宋体" w:cs="宋体"/>
          <w:sz w:val="24"/>
          <w:szCs w:val="24"/>
        </w:rPr>
        <w:t>个日历日完成系统安装和调试。中标人必须派出足够的人员到施工现场，确保工期按时完成。并提供详细的安装调试计划及保证措施。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eastAsia="宋体" w:cs="宋体"/>
          <w:color w:val="0000FF"/>
          <w:sz w:val="24"/>
          <w:szCs w:val="24"/>
          <w:lang w:eastAsia="zh-CN"/>
        </w:rPr>
        <w:t>三年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4"/>
        <w:rPr>
          <w:rFonts w:ascii="宋体" w:hAnsi="宋体"/>
          <w:color w:val="000000"/>
          <w:sz w:val="21"/>
          <w:szCs w:val="21"/>
        </w:rPr>
      </w:pPr>
      <w:bookmarkStart w:id="1" w:name="_Toc34991461"/>
      <w:bookmarkStart w:id="2" w:name="_Toc12022"/>
      <w:bookmarkStart w:id="3" w:name="_Toc231304988"/>
      <w:bookmarkStart w:id="4" w:name="_Toc231281339"/>
      <w:bookmarkStart w:id="5" w:name="_Toc231279737"/>
      <w:bookmarkStart w:id="6" w:name="_Toc231280938"/>
      <w:bookmarkStart w:id="7" w:name="_Toc231280344"/>
      <w:bookmarkStart w:id="8" w:name="_Toc231286901"/>
      <w:bookmarkStart w:id="9" w:name="_Toc231281705"/>
      <w:bookmarkStart w:id="10" w:name="_Toc231280804"/>
      <w:bookmarkStart w:id="11" w:name="_Toc231279586"/>
      <w:bookmarkStart w:id="12" w:name="_Toc231289932"/>
      <w:bookmarkStart w:id="13" w:name="_Toc231279666"/>
      <w:bookmarkStart w:id="14" w:name="_Toc231279156"/>
      <w:bookmarkStart w:id="15" w:name="_Toc231289771"/>
      <w:bookmarkStart w:id="16" w:name="_Toc231279247"/>
      <w:bookmarkStart w:id="17" w:name="_Toc231284489"/>
      <w:bookmarkStart w:id="18" w:name="_Toc231305090"/>
      <w:bookmarkStart w:id="19" w:name="_Toc231276966"/>
      <w:bookmarkStart w:id="20" w:name="_Toc231289905"/>
      <w:bookmarkStart w:id="21" w:name="_Toc231282228"/>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4991462"/>
      <w:bookmarkStart w:id="23" w:name="_Toc30593"/>
      <w:bookmarkStart w:id="24" w:name="_Toc231281708"/>
      <w:bookmarkStart w:id="25" w:name="_Toc231284492"/>
      <w:bookmarkStart w:id="26" w:name="_Toc231279740"/>
      <w:bookmarkStart w:id="27" w:name="_Toc231280807"/>
      <w:bookmarkStart w:id="28" w:name="_Toc231280941"/>
      <w:bookmarkStart w:id="29" w:name="_Toc231289774"/>
      <w:bookmarkStart w:id="30" w:name="_Toc231282231"/>
      <w:bookmarkStart w:id="31" w:name="_Toc231305093"/>
      <w:bookmarkStart w:id="32" w:name="_Toc231289908"/>
      <w:bookmarkStart w:id="33" w:name="_Toc231279589"/>
      <w:bookmarkStart w:id="34" w:name="_Toc231304991"/>
      <w:bookmarkStart w:id="35" w:name="_Toc407266082"/>
      <w:bookmarkStart w:id="36" w:name="_Toc231281342"/>
      <w:bookmarkStart w:id="37" w:name="_Toc231286904"/>
      <w:bookmarkStart w:id="38" w:name="_Toc231280347"/>
      <w:bookmarkStart w:id="39" w:name="_Toc231289935"/>
      <w:bookmarkStart w:id="40" w:name="_Toc231279669"/>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2366BFC"/>
    <w:rsid w:val="02C34648"/>
    <w:rsid w:val="034706E5"/>
    <w:rsid w:val="051605BC"/>
    <w:rsid w:val="06A420ED"/>
    <w:rsid w:val="078556D9"/>
    <w:rsid w:val="07D41536"/>
    <w:rsid w:val="08CD3F71"/>
    <w:rsid w:val="09C851E3"/>
    <w:rsid w:val="09EE765E"/>
    <w:rsid w:val="0A833281"/>
    <w:rsid w:val="0C1110C3"/>
    <w:rsid w:val="0D2D7BF7"/>
    <w:rsid w:val="0DBB5368"/>
    <w:rsid w:val="0F315D59"/>
    <w:rsid w:val="0FB86E64"/>
    <w:rsid w:val="0FD23F5F"/>
    <w:rsid w:val="101C0C30"/>
    <w:rsid w:val="10A34788"/>
    <w:rsid w:val="116575D6"/>
    <w:rsid w:val="13841069"/>
    <w:rsid w:val="145566DF"/>
    <w:rsid w:val="1457547C"/>
    <w:rsid w:val="14C63838"/>
    <w:rsid w:val="152F7E36"/>
    <w:rsid w:val="156D0294"/>
    <w:rsid w:val="174E5C33"/>
    <w:rsid w:val="17D14778"/>
    <w:rsid w:val="18465780"/>
    <w:rsid w:val="1A193F3B"/>
    <w:rsid w:val="1AB23575"/>
    <w:rsid w:val="1B2E70E8"/>
    <w:rsid w:val="1C0466A8"/>
    <w:rsid w:val="1C364BBA"/>
    <w:rsid w:val="1CA476F7"/>
    <w:rsid w:val="1CFC4FCF"/>
    <w:rsid w:val="1D7D3B03"/>
    <w:rsid w:val="207F2647"/>
    <w:rsid w:val="2288155B"/>
    <w:rsid w:val="22C97E48"/>
    <w:rsid w:val="23B762FF"/>
    <w:rsid w:val="24066C35"/>
    <w:rsid w:val="24471A0C"/>
    <w:rsid w:val="245E6DAE"/>
    <w:rsid w:val="252F7C57"/>
    <w:rsid w:val="27202030"/>
    <w:rsid w:val="27397933"/>
    <w:rsid w:val="29552D45"/>
    <w:rsid w:val="2B574CA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C340801"/>
    <w:rsid w:val="3D9267FC"/>
    <w:rsid w:val="3E391328"/>
    <w:rsid w:val="3ECF32FA"/>
    <w:rsid w:val="416A65A4"/>
    <w:rsid w:val="4198777F"/>
    <w:rsid w:val="43654233"/>
    <w:rsid w:val="44B07A08"/>
    <w:rsid w:val="45BB5620"/>
    <w:rsid w:val="46363230"/>
    <w:rsid w:val="46FD1054"/>
    <w:rsid w:val="47BB194D"/>
    <w:rsid w:val="485A31EE"/>
    <w:rsid w:val="490258E8"/>
    <w:rsid w:val="49342513"/>
    <w:rsid w:val="4BC86126"/>
    <w:rsid w:val="4C516396"/>
    <w:rsid w:val="4C797198"/>
    <w:rsid w:val="4DBE70C8"/>
    <w:rsid w:val="4F566AB1"/>
    <w:rsid w:val="4FEB4DF1"/>
    <w:rsid w:val="513D7296"/>
    <w:rsid w:val="520B348B"/>
    <w:rsid w:val="52464F50"/>
    <w:rsid w:val="529275A5"/>
    <w:rsid w:val="52C553E8"/>
    <w:rsid w:val="57C46052"/>
    <w:rsid w:val="58E514AF"/>
    <w:rsid w:val="5A4C3E5A"/>
    <w:rsid w:val="5B4E3863"/>
    <w:rsid w:val="5CEA1B7D"/>
    <w:rsid w:val="5D8C3A2F"/>
    <w:rsid w:val="5E9474D3"/>
    <w:rsid w:val="5F230066"/>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9685</Words>
  <Characters>10133</Characters>
  <Lines>134</Lines>
  <Paragraphs>37</Paragraphs>
  <TotalTime>4</TotalTime>
  <ScaleCrop>false</ScaleCrop>
  <LinksUpToDate>false</LinksUpToDate>
  <CharactersWithSpaces>10870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2023-07-13T05:15:31Z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266123E90ED34E8B93588A930E36E419_13</vt:lpwstr>
  </property>
</Properties>
</file>