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项目名称：南通理工学院</w:t>
      </w:r>
      <w:r>
        <w:rPr>
          <w:rFonts w:hint="eastAsia" w:ascii="宋体" w:hAnsi="宋体" w:cs="宋体"/>
          <w:b/>
          <w:bCs/>
          <w:sz w:val="32"/>
          <w:szCs w:val="32"/>
          <w:lang w:val="en-US" w:eastAsia="zh-CN"/>
        </w:rPr>
        <w:t>智能建造数字化实验室设备采购</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ZCZB2024022</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6</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智能建造数字化实验室设备采购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智能建造数字化实验室设备采购</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南通校区土木学院210。</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整个项目最终交付时间为自合同</w:t>
      </w:r>
      <w:r>
        <w:rPr>
          <w:rFonts w:hint="eastAsia" w:ascii="宋体" w:hAnsi="宋体" w:cs="宋体"/>
          <w:color w:val="auto"/>
          <w:sz w:val="24"/>
          <w:szCs w:val="24"/>
          <w:highlight w:val="none"/>
          <w:lang w:val="en-US" w:eastAsia="zh-CN"/>
        </w:rPr>
        <w:t>生效</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不超过</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3</w:t>
      </w:r>
      <w:bookmarkStart w:id="58" w:name="_GoBack"/>
      <w:bookmarkEnd w:id="58"/>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天</w:t>
      </w:r>
      <w:r>
        <w:rPr>
          <w:rFonts w:hint="eastAsia" w:ascii="宋体" w:hAnsi="宋体" w:eastAsia="宋体" w:cs="宋体"/>
          <w:color w:val="0000FF"/>
          <w:sz w:val="24"/>
          <w:szCs w:val="24"/>
          <w:highlight w:val="none"/>
          <w:lang w:val="en-US" w:eastAsia="zh-CN"/>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2、具有本次采购项目的</w:t>
      </w:r>
      <w:r>
        <w:rPr>
          <w:rFonts w:hint="eastAsia" w:ascii="宋体" w:hAnsi="宋体" w:eastAsia="宋体" w:cs="宋体"/>
          <w:color w:val="auto"/>
          <w:sz w:val="24"/>
          <w:szCs w:val="24"/>
          <w:lang w:val="en-US" w:eastAsia="zh-CN"/>
        </w:rPr>
        <w:t>方案设计能力、</w:t>
      </w:r>
      <w:r>
        <w:rPr>
          <w:rFonts w:hint="eastAsia" w:ascii="宋体" w:hAnsi="宋体" w:eastAsia="宋体" w:cs="宋体"/>
          <w:color w:val="auto"/>
          <w:sz w:val="24"/>
          <w:szCs w:val="24"/>
        </w:rPr>
        <w:t>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技术咨询：李老师18751329235</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w:t>
      </w:r>
      <w:r>
        <w:rPr>
          <w:rFonts w:hint="eastAsia" w:cs="Times New Roman"/>
          <w:sz w:val="24"/>
          <w:lang w:eastAsia="zh-CN"/>
        </w:rPr>
        <w:t>、</w:t>
      </w:r>
      <w:r>
        <w:rPr>
          <w:rFonts w:hint="eastAsia" w:ascii="黑体" w:hAnsi="黑体" w:eastAsia="黑体" w:cs="黑体"/>
          <w:b/>
          <w:bCs/>
          <w:color w:val="0000FF"/>
          <w:sz w:val="24"/>
          <w:szCs w:val="24"/>
          <w:highlight w:val="none"/>
          <w:lang w:val="en-US" w:eastAsia="zh-CN"/>
        </w:rPr>
        <w:t>方案设计效果图及具体参数</w:t>
      </w:r>
      <w:r>
        <w:rPr>
          <w:rFonts w:hint="eastAsia" w:ascii="Times New Roman" w:hAnsi="Times New Roman" w:cs="Times New Roman"/>
          <w:sz w:val="24"/>
        </w:rPr>
        <w:t>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p>
    <w:p>
      <w:pPr>
        <w:spacing w:line="353" w:lineRule="auto"/>
        <w:ind w:firstLine="482" w:firstLineChars="200"/>
        <w:rPr>
          <w:rFonts w:hint="eastAsia"/>
          <w:b/>
          <w:sz w:val="24"/>
        </w:rPr>
      </w:pPr>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合同生效后30天内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z w:val="43"/>
          <w:szCs w:val="43"/>
        </w:rPr>
      </w:pPr>
      <w:bookmarkStart w:id="4" w:name="_Toc12022"/>
      <w:bookmarkStart w:id="5" w:name="_Toc34991461"/>
      <w:bookmarkStart w:id="6" w:name="_Toc231279586"/>
      <w:bookmarkStart w:id="7" w:name="_Toc231282228"/>
      <w:bookmarkStart w:id="8" w:name="_Toc231279666"/>
      <w:bookmarkStart w:id="9" w:name="_Toc231284489"/>
      <w:bookmarkStart w:id="10" w:name="_Toc231279247"/>
      <w:bookmarkStart w:id="11" w:name="_Toc231305090"/>
      <w:bookmarkStart w:id="12" w:name="_Toc231286901"/>
      <w:bookmarkStart w:id="13" w:name="_Toc231289932"/>
      <w:bookmarkStart w:id="14" w:name="_Toc231289905"/>
      <w:bookmarkStart w:id="15" w:name="_Toc231279737"/>
      <w:bookmarkStart w:id="16" w:name="_Toc231289771"/>
      <w:bookmarkStart w:id="17" w:name="_Toc231276966"/>
      <w:bookmarkStart w:id="18" w:name="_Toc231280344"/>
      <w:bookmarkStart w:id="19" w:name="_Toc231281339"/>
      <w:bookmarkStart w:id="20" w:name="_Toc231279156"/>
      <w:bookmarkStart w:id="21" w:name="_Toc231280804"/>
      <w:bookmarkStart w:id="22" w:name="_Toc231281705"/>
      <w:bookmarkStart w:id="23" w:name="_Toc231280938"/>
      <w:bookmarkStart w:id="24" w:name="_Toc231304988"/>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4991462"/>
      <w:bookmarkStart w:id="26" w:name="_Toc30593"/>
      <w:bookmarkStart w:id="27" w:name="_Toc231279669"/>
      <w:bookmarkStart w:id="28" w:name="_Toc231279740"/>
      <w:bookmarkStart w:id="29" w:name="_Toc231280807"/>
      <w:bookmarkStart w:id="30" w:name="_Toc231279589"/>
      <w:bookmarkStart w:id="31" w:name="_Toc231282231"/>
      <w:bookmarkStart w:id="32" w:name="_Toc231286904"/>
      <w:bookmarkStart w:id="33" w:name="_Toc231305093"/>
      <w:bookmarkStart w:id="34" w:name="_Toc231289908"/>
      <w:bookmarkStart w:id="35" w:name="_Toc231304991"/>
      <w:bookmarkStart w:id="36" w:name="_Toc231281342"/>
      <w:bookmarkStart w:id="37" w:name="_Toc231289774"/>
      <w:bookmarkStart w:id="38" w:name="_Toc231280347"/>
      <w:bookmarkStart w:id="39" w:name="_Toc231281708"/>
      <w:bookmarkStart w:id="40" w:name="_Toc231280941"/>
      <w:bookmarkStart w:id="41" w:name="_Toc407266082"/>
      <w:bookmarkStart w:id="42" w:name="_Toc231284492"/>
      <w:bookmarkStart w:id="43" w:name="_Toc231289935"/>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762724"/>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0C3185"/>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4662DB"/>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10743</Words>
  <Characters>11321</Characters>
  <Lines>134</Lines>
  <Paragraphs>37</Paragraphs>
  <TotalTime>6</TotalTime>
  <ScaleCrop>false</ScaleCrop>
  <LinksUpToDate>false</LinksUpToDate>
  <CharactersWithSpaces>12241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2024-06-14T06:47:00Z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8A70C8F2B8504748A12F2AC361E225A9_13</vt:lpwstr>
  </property>
</Properties>
</file>