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rPr>
          <w:szCs w:val="21"/>
        </w:rPr>
      </w:pPr>
      <w:r>
        <w:rPr>
          <w:rFonts w:hint="eastAsia" w:ascii="宋体" w:hAnsi="宋体" w:cs="宋体"/>
          <w:b/>
          <w:bCs/>
          <w:sz w:val="32"/>
          <w:szCs w:val="32"/>
        </w:rPr>
        <w:t xml:space="preserve">   项目名称：</w:t>
      </w:r>
      <w:r>
        <w:rPr>
          <w:rFonts w:hint="eastAsia" w:ascii="宋体" w:hAnsi="宋体" w:cs="宋体"/>
          <w:b/>
          <w:bCs/>
          <w:sz w:val="32"/>
          <w:szCs w:val="32"/>
          <w:lang w:val="en-US" w:eastAsia="zh-CN"/>
        </w:rPr>
        <w:t>健康医学院综合楼四楼运动场地</w:t>
      </w:r>
      <w:r>
        <w:rPr>
          <w:rFonts w:hint="eastAsia"/>
          <w:b/>
          <w:bCs/>
          <w:sz w:val="32"/>
          <w:szCs w:val="32"/>
          <w:lang w:val="en-US" w:eastAsia="zh-CN"/>
        </w:rPr>
        <w:t>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ZCZB2023029</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7</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12</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健康医学院综合楼四楼运动场地建设</w:t>
      </w:r>
      <w:r>
        <w:rPr>
          <w:rFonts w:hint="eastAsia" w:ascii="仿宋" w:hAnsi="仿宋" w:eastAsia="仿宋" w:cs="仿宋"/>
          <w:color w:val="auto"/>
          <w:sz w:val="24"/>
        </w:rPr>
        <w:t>项目进行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w:t>
      </w:r>
      <w:r>
        <w:rPr>
          <w:rFonts w:hint="eastAsia" w:ascii="仿宋" w:hAnsi="仿宋" w:eastAsia="仿宋" w:cs="仿宋"/>
          <w:color w:val="auto"/>
          <w:sz w:val="24"/>
          <w:lang w:val="en-US" w:eastAsia="zh-CN"/>
        </w:rPr>
        <w:t>健康医学院综合楼四楼运动场地</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eastAsia" w:ascii="仿宋" w:hAnsi="仿宋" w:eastAsia="仿宋" w:cs="仿宋"/>
          <w:sz w:val="24"/>
          <w:lang w:val="en-US" w:eastAsia="zh-CN"/>
        </w:rPr>
      </w:pPr>
      <w:r>
        <w:rPr>
          <w:rFonts w:hint="eastAsia" w:ascii="仿宋" w:hAnsi="仿宋" w:eastAsia="仿宋" w:cs="仿宋"/>
          <w:sz w:val="24"/>
        </w:rPr>
        <w:t>3、项目概况：该项目位于南通理工学院</w:t>
      </w:r>
      <w:r>
        <w:rPr>
          <w:rFonts w:hint="eastAsia" w:ascii="仿宋" w:hAnsi="仿宋" w:eastAsia="仿宋" w:cs="仿宋"/>
          <w:sz w:val="24"/>
          <w:lang w:val="en-US" w:eastAsia="zh-CN"/>
        </w:rPr>
        <w:t>南通校区健康医学院综合楼4楼</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30</w:t>
      </w:r>
      <w:r>
        <w:rPr>
          <w:rFonts w:hint="eastAsia" w:ascii="仿宋" w:hAnsi="仿宋" w:eastAsia="仿宋" w:cs="仿宋"/>
          <w:sz w:val="24"/>
          <w:highlight w:val="none"/>
          <w:lang w:val="en-US" w:eastAsia="zh-CN"/>
        </w:rPr>
        <w:t>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0000FF"/>
          <w:sz w:val="24"/>
          <w:highlight w:val="none"/>
          <w:lang w:val="en-US" w:eastAsia="zh-CN"/>
        </w:rPr>
        <w:t>2</w:t>
      </w:r>
      <w:bookmarkStart w:id="53" w:name="_GoBack"/>
      <w:bookmarkEnd w:id="53"/>
      <w:r>
        <w:rPr>
          <w:rFonts w:hint="eastAsia" w:ascii="仿宋" w:hAnsi="仿宋" w:eastAsia="仿宋" w:cs="仿宋"/>
          <w:color w:val="0000FF"/>
          <w:sz w:val="24"/>
          <w:highlight w:val="none"/>
          <w:lang w:val="en-US" w:eastAsia="zh-CN"/>
        </w:rPr>
        <w:t>0000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2"/>
        <w:widowControl/>
        <w:spacing w:beforeAutospacing="0" w:afterAutospacing="0" w:line="360" w:lineRule="exact"/>
        <w:rPr>
          <w:rFonts w:ascii="仿宋" w:hAnsi="仿宋" w:eastAsia="仿宋" w:cs="仿宋"/>
          <w:color w:val="222222"/>
        </w:rPr>
      </w:pP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1、投标报名时间：潜在投标人如确定参加投标，请务必于202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14</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时00分前将“报名投标确认函”（格式见招标文件第五部分）填写完整后扫描+</w:t>
      </w:r>
      <w:r>
        <w:rPr>
          <w:rFonts w:hint="eastAsia" w:ascii="仿宋" w:hAnsi="仿宋" w:eastAsia="仿宋" w:cs="仿宋"/>
          <w:sz w:val="24"/>
          <w:highlight w:val="none"/>
          <w:lang w:eastAsia="zh-CN"/>
        </w:rPr>
        <w:t>投标</w:t>
      </w:r>
      <w:r>
        <w:rPr>
          <w:rFonts w:hint="eastAsia" w:ascii="仿宋" w:hAnsi="仿宋" w:eastAsia="仿宋" w:cs="仿宋"/>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2、递交投标文件时间：202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17</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:00前）将投标文件（要求密封）递交我校资产与基建处招标采购中心。</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3、响应文件接收截止时间：202</w:t>
      </w:r>
      <w:r>
        <w:rPr>
          <w:rFonts w:ascii="仿宋" w:hAnsi="仿宋" w:eastAsia="仿宋" w:cs="仿宋"/>
          <w:sz w:val="24"/>
          <w:highlight w:val="none"/>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color w:val="0000FF"/>
          <w:sz w:val="24"/>
          <w:highlight w:val="none"/>
          <w:lang w:val="en-US" w:eastAsia="zh-CN"/>
        </w:rPr>
        <w:t>17</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snapToGrid w:val="0"/>
        <w:spacing w:line="360" w:lineRule="exact"/>
        <w:jc w:val="left"/>
        <w:rPr>
          <w:rFonts w:hint="default" w:ascii="仿宋" w:hAnsi="仿宋" w:eastAsia="仿宋" w:cs="仿宋"/>
          <w:kern w:val="2"/>
          <w:sz w:val="24"/>
          <w:szCs w:val="24"/>
          <w:u w:val="none"/>
          <w:lang w:val="en-US" w:eastAsia="zh-CN" w:bidi="ar-SA"/>
        </w:rPr>
      </w:pPr>
      <w:r>
        <w:rPr>
          <w:rFonts w:hint="eastAsia" w:ascii="仿宋" w:hAnsi="仿宋" w:eastAsia="仿宋" w:cs="仿宋"/>
          <w:color w:val="0000FF"/>
          <w:kern w:val="2"/>
          <w:sz w:val="24"/>
          <w:szCs w:val="24"/>
          <w:u w:val="none"/>
          <w:lang w:val="en-US" w:eastAsia="zh-CN" w:bidi="ar-SA"/>
        </w:rPr>
        <w:t xml:space="preserve">现场勘查联系人及方式：周老师 13912207728 </w:t>
      </w:r>
      <w:r>
        <w:rPr>
          <w:rFonts w:hint="eastAsia" w:ascii="仿宋" w:hAnsi="仿宋" w:eastAsia="仿宋" w:cs="仿宋"/>
          <w:kern w:val="2"/>
          <w:sz w:val="24"/>
          <w:szCs w:val="24"/>
          <w:u w:val="none"/>
          <w:lang w:val="en-US" w:eastAsia="zh-CN" w:bidi="ar-SA"/>
        </w:rPr>
        <w:t xml:space="preserve"> </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2"/>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2"/>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6</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tbl>
      <w:tblPr>
        <w:tblStyle w:val="13"/>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1</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五</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2"/>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FF0000"/>
          <w:sz w:val="24"/>
          <w:szCs w:val="24"/>
        </w:rPr>
        <w:t>投标</w:t>
      </w:r>
      <w:r>
        <w:rPr>
          <w:rFonts w:hint="eastAsia" w:ascii="宋体" w:hAnsi="宋体"/>
          <w:color w:val="FF0000"/>
          <w:sz w:val="24"/>
          <w:szCs w:val="24"/>
          <w:lang w:val="en-US" w:eastAsia="zh-CN"/>
        </w:rPr>
        <w:t>人</w:t>
      </w:r>
      <w:r>
        <w:rPr>
          <w:rFonts w:hint="eastAsia" w:ascii="宋体" w:hAnsi="宋体"/>
          <w:color w:val="FF0000"/>
          <w:sz w:val="24"/>
          <w:szCs w:val="24"/>
        </w:rPr>
        <w:t>选用品牌，也可选用不低于招标人建议品牌档次的品牌。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施工期为签订合同，根据现场情况，由招标人书面通知进场日期，进场后</w:t>
      </w:r>
      <w:r>
        <w:rPr>
          <w:rFonts w:hint="eastAsia" w:ascii="宋体" w:hAnsi="宋体" w:cs="宋体"/>
          <w:color w:val="0000FF"/>
          <w:sz w:val="24"/>
          <w:szCs w:val="24"/>
          <w:lang w:val="en-US" w:eastAsia="zh-CN"/>
        </w:rPr>
        <w:t>10</w:t>
      </w:r>
      <w:r>
        <w:rPr>
          <w:rFonts w:hint="eastAsia" w:ascii="宋体" w:hAnsi="宋体" w:eastAsia="宋体" w:cs="宋体"/>
          <w:sz w:val="24"/>
          <w:szCs w:val="24"/>
        </w:rPr>
        <w:t>个日历日完成系统安装和调试。中标人必须派出足够的人员到施工现场，确保工期按时完成。并提供详细的安装调试计划及保证措施。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五</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4"/>
        <w:rPr>
          <w:rFonts w:ascii="宋体" w:hAnsi="宋体"/>
          <w:color w:val="000000"/>
          <w:sz w:val="21"/>
          <w:szCs w:val="21"/>
        </w:rPr>
      </w:pPr>
      <w:bookmarkStart w:id="1" w:name="_Toc12022"/>
      <w:bookmarkStart w:id="2" w:name="_Toc34991461"/>
      <w:bookmarkStart w:id="3" w:name="_Toc231282228"/>
      <w:bookmarkStart w:id="4" w:name="_Toc231279156"/>
      <w:bookmarkStart w:id="5" w:name="_Toc231280804"/>
      <w:bookmarkStart w:id="6" w:name="_Toc231286901"/>
      <w:bookmarkStart w:id="7" w:name="_Toc231304988"/>
      <w:bookmarkStart w:id="8" w:name="_Toc231289771"/>
      <w:bookmarkStart w:id="9" w:name="_Toc231281705"/>
      <w:bookmarkStart w:id="10" w:name="_Toc231279666"/>
      <w:bookmarkStart w:id="11" w:name="_Toc231279737"/>
      <w:bookmarkStart w:id="12" w:name="_Toc231281339"/>
      <w:bookmarkStart w:id="13" w:name="_Toc231276966"/>
      <w:bookmarkStart w:id="14" w:name="_Toc231284489"/>
      <w:bookmarkStart w:id="15" w:name="_Toc231279586"/>
      <w:bookmarkStart w:id="16" w:name="_Toc231280938"/>
      <w:bookmarkStart w:id="17" w:name="_Toc231305090"/>
      <w:bookmarkStart w:id="18" w:name="_Toc231280344"/>
      <w:bookmarkStart w:id="19" w:name="_Toc231279247"/>
      <w:bookmarkStart w:id="20" w:name="_Toc231289932"/>
      <w:bookmarkStart w:id="21" w:name="_Toc231289905"/>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val="0"/>
          <w:color w:val="000000"/>
          <w:sz w:val="21"/>
          <w:szCs w:val="21"/>
        </w:rPr>
      </w:pPr>
      <w:bookmarkStart w:id="22" w:name="_Toc30593"/>
      <w:bookmarkStart w:id="23" w:name="_Toc34991462"/>
      <w:bookmarkStart w:id="24" w:name="_Toc231304991"/>
      <w:bookmarkStart w:id="25" w:name="_Toc231280941"/>
      <w:bookmarkStart w:id="26" w:name="_Toc231280807"/>
      <w:bookmarkStart w:id="27" w:name="_Toc231305093"/>
      <w:bookmarkStart w:id="28" w:name="_Toc231281708"/>
      <w:bookmarkStart w:id="29" w:name="_Toc231289908"/>
      <w:bookmarkStart w:id="30" w:name="_Toc231279740"/>
      <w:bookmarkStart w:id="31" w:name="_Toc231281342"/>
      <w:bookmarkStart w:id="32" w:name="_Toc231284492"/>
      <w:bookmarkStart w:id="33" w:name="_Toc231289774"/>
      <w:bookmarkStart w:id="34" w:name="_Toc231279669"/>
      <w:bookmarkStart w:id="35" w:name="_Toc231286904"/>
      <w:bookmarkStart w:id="36" w:name="_Toc407266082"/>
      <w:bookmarkStart w:id="37" w:name="_Toc231280347"/>
      <w:bookmarkStart w:id="38" w:name="_Toc231282231"/>
      <w:bookmarkStart w:id="39" w:name="_Toc231279589"/>
      <w:bookmarkStart w:id="40" w:name="_Toc231289935"/>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1" w:name="_Toc34991463"/>
      <w:bookmarkStart w:id="42"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b w:val="0"/>
          <w:color w:val="000000"/>
          <w:sz w:val="36"/>
          <w:szCs w:val="36"/>
        </w:rPr>
      </w:pPr>
      <w:r>
        <w:rPr>
          <w:rFonts w:ascii="宋体" w:hAnsi="宋体"/>
          <w:color w:val="000000"/>
          <w:spacing w:val="4"/>
          <w:sz w:val="24"/>
        </w:rPr>
        <w:br w:type="page"/>
      </w:r>
      <w:bookmarkStart w:id="43" w:name="_Toc34991464"/>
      <w:bookmarkStart w:id="44" w:name="_Toc8152"/>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47" w:name="_Toc29319"/>
      <w:bookmarkStart w:id="48"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49" w:name="_Toc13075"/>
      <w:bookmarkStart w:id="50"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51" w:name="_Toc30136"/>
      <w:bookmarkStart w:id="52" w:name="_Toc34991468"/>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2"/>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jZjI5ODU1NmY5NWI2NjJmZTRlNWY0NjQ3ZmE5NWY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2366BFC"/>
    <w:rsid w:val="02C34648"/>
    <w:rsid w:val="034706E5"/>
    <w:rsid w:val="051605BC"/>
    <w:rsid w:val="052563AB"/>
    <w:rsid w:val="06A420ED"/>
    <w:rsid w:val="078556D9"/>
    <w:rsid w:val="07D41536"/>
    <w:rsid w:val="08CD3F71"/>
    <w:rsid w:val="08FB684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3841069"/>
    <w:rsid w:val="145566DF"/>
    <w:rsid w:val="1457547C"/>
    <w:rsid w:val="14C52920"/>
    <w:rsid w:val="14C63838"/>
    <w:rsid w:val="152F7E36"/>
    <w:rsid w:val="156D0294"/>
    <w:rsid w:val="167F3072"/>
    <w:rsid w:val="174E5C33"/>
    <w:rsid w:val="17AC2ABD"/>
    <w:rsid w:val="17D14778"/>
    <w:rsid w:val="18465780"/>
    <w:rsid w:val="1A193F3B"/>
    <w:rsid w:val="1AB23575"/>
    <w:rsid w:val="1B2E70E8"/>
    <w:rsid w:val="1C0466A8"/>
    <w:rsid w:val="1C364BBA"/>
    <w:rsid w:val="1CA476F7"/>
    <w:rsid w:val="1CFC4FCF"/>
    <w:rsid w:val="1D7D3B03"/>
    <w:rsid w:val="207F2647"/>
    <w:rsid w:val="22C97E48"/>
    <w:rsid w:val="23B762FF"/>
    <w:rsid w:val="24066C35"/>
    <w:rsid w:val="24471A0C"/>
    <w:rsid w:val="252F7C57"/>
    <w:rsid w:val="25F513DD"/>
    <w:rsid w:val="27202030"/>
    <w:rsid w:val="27397933"/>
    <w:rsid w:val="27612588"/>
    <w:rsid w:val="29552D45"/>
    <w:rsid w:val="2B8453D4"/>
    <w:rsid w:val="2C432879"/>
    <w:rsid w:val="2C627C4F"/>
    <w:rsid w:val="2C773E2D"/>
    <w:rsid w:val="2D2B3EDE"/>
    <w:rsid w:val="2D6C3CDD"/>
    <w:rsid w:val="2E832474"/>
    <w:rsid w:val="31B403E4"/>
    <w:rsid w:val="31C60194"/>
    <w:rsid w:val="32596A25"/>
    <w:rsid w:val="342F3A6A"/>
    <w:rsid w:val="35F966E1"/>
    <w:rsid w:val="364E7665"/>
    <w:rsid w:val="36D601E8"/>
    <w:rsid w:val="371C5AC4"/>
    <w:rsid w:val="389D2E5E"/>
    <w:rsid w:val="38E8560F"/>
    <w:rsid w:val="391C0B65"/>
    <w:rsid w:val="39FF1CAB"/>
    <w:rsid w:val="3B00217F"/>
    <w:rsid w:val="3B5211DC"/>
    <w:rsid w:val="3C340801"/>
    <w:rsid w:val="3D7A254C"/>
    <w:rsid w:val="3D9267FC"/>
    <w:rsid w:val="3E391328"/>
    <w:rsid w:val="3ECF32FA"/>
    <w:rsid w:val="416A65A4"/>
    <w:rsid w:val="4198777F"/>
    <w:rsid w:val="43654233"/>
    <w:rsid w:val="44B07A08"/>
    <w:rsid w:val="45BB5620"/>
    <w:rsid w:val="46363230"/>
    <w:rsid w:val="46FD1054"/>
    <w:rsid w:val="47BB194D"/>
    <w:rsid w:val="485A31EE"/>
    <w:rsid w:val="490258E8"/>
    <w:rsid w:val="49342513"/>
    <w:rsid w:val="4BC86126"/>
    <w:rsid w:val="4C516396"/>
    <w:rsid w:val="4C797198"/>
    <w:rsid w:val="4D454CFC"/>
    <w:rsid w:val="4DBE70C8"/>
    <w:rsid w:val="4ED25562"/>
    <w:rsid w:val="4F566AB1"/>
    <w:rsid w:val="4FEB4DF1"/>
    <w:rsid w:val="513D7296"/>
    <w:rsid w:val="520B348B"/>
    <w:rsid w:val="52464F50"/>
    <w:rsid w:val="529275A5"/>
    <w:rsid w:val="52C553E8"/>
    <w:rsid w:val="55741B58"/>
    <w:rsid w:val="57C46052"/>
    <w:rsid w:val="58E514AF"/>
    <w:rsid w:val="5A4C3E5A"/>
    <w:rsid w:val="5B4E3863"/>
    <w:rsid w:val="5CEA1B7D"/>
    <w:rsid w:val="5D8C3A2F"/>
    <w:rsid w:val="5E9474D3"/>
    <w:rsid w:val="5F230066"/>
    <w:rsid w:val="616B0426"/>
    <w:rsid w:val="61B91426"/>
    <w:rsid w:val="62126170"/>
    <w:rsid w:val="62B03E2D"/>
    <w:rsid w:val="65DB3287"/>
    <w:rsid w:val="66093965"/>
    <w:rsid w:val="67784E22"/>
    <w:rsid w:val="68FA0664"/>
    <w:rsid w:val="69D525EC"/>
    <w:rsid w:val="6BC1223C"/>
    <w:rsid w:val="6BE33FA7"/>
    <w:rsid w:val="6C465F5C"/>
    <w:rsid w:val="6C6178D9"/>
    <w:rsid w:val="70B34FC2"/>
    <w:rsid w:val="72224E32"/>
    <w:rsid w:val="72C47013"/>
    <w:rsid w:val="73791CD1"/>
    <w:rsid w:val="73CC7AC9"/>
    <w:rsid w:val="747554DC"/>
    <w:rsid w:val="7548217D"/>
    <w:rsid w:val="75B94E29"/>
    <w:rsid w:val="77C16289"/>
    <w:rsid w:val="77C819C8"/>
    <w:rsid w:val="78873A06"/>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6">
    <w:name w:val="Normal Indent"/>
    <w:basedOn w:val="1"/>
    <w:qFormat/>
    <w:uiPriority w:val="0"/>
    <w:pPr>
      <w:ind w:firstLine="420"/>
    </w:pPr>
    <w:rPr>
      <w:szCs w:val="20"/>
    </w:rPr>
  </w:style>
  <w:style w:type="paragraph" w:styleId="7">
    <w:name w:val="annotation text"/>
    <w:basedOn w:val="1"/>
    <w:link w:val="26"/>
    <w:unhideWhenUsed/>
    <w:qFormat/>
    <w:uiPriority w:val="99"/>
    <w:pPr>
      <w:jc w:val="left"/>
    </w:pPr>
    <w:rPr>
      <w:szCs w:val="21"/>
    </w:rPr>
  </w:style>
  <w:style w:type="paragraph" w:styleId="8">
    <w:name w:val="Body Text"/>
    <w:basedOn w:val="1"/>
    <w:link w:val="21"/>
    <w:qFormat/>
    <w:uiPriority w:val="0"/>
    <w:pPr>
      <w:snapToGrid w:val="0"/>
      <w:spacing w:before="120" w:after="120" w:line="360" w:lineRule="auto"/>
    </w:pPr>
    <w:rPr>
      <w:rFonts w:ascii="宋体" w:hAnsi="宋体"/>
      <w:sz w:val="24"/>
      <w:szCs w:val="20"/>
    </w:rPr>
  </w:style>
  <w:style w:type="paragraph" w:styleId="9">
    <w:name w:val="Plain Text"/>
    <w:basedOn w:val="1"/>
    <w:link w:val="22"/>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ascii="Calibri" w:hAnsi="Calibri"/>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unhideWhenUsed/>
    <w:qFormat/>
    <w:uiPriority w:val="99"/>
    <w:rPr>
      <w:color w:val="0000FF"/>
      <w:u w:val="single"/>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5"/>
    <w:semiHidden/>
    <w:qFormat/>
    <w:uiPriority w:val="0"/>
    <w:rPr>
      <w:b/>
      <w:bCs/>
      <w:kern w:val="2"/>
      <w:sz w:val="32"/>
      <w:szCs w:val="32"/>
    </w:rPr>
  </w:style>
  <w:style w:type="character" w:customStyle="1" w:styleId="21">
    <w:name w:val="正文文本 字符"/>
    <w:link w:val="8"/>
    <w:qFormat/>
    <w:uiPriority w:val="0"/>
    <w:rPr>
      <w:rFonts w:ascii="宋体" w:hAnsi="宋体"/>
      <w:kern w:val="2"/>
      <w:sz w:val="24"/>
    </w:rPr>
  </w:style>
  <w:style w:type="character" w:customStyle="1" w:styleId="22">
    <w:name w:val="纯文本 字符"/>
    <w:link w:val="9"/>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5"/>
    <w:link w:val="7"/>
    <w:qFormat/>
    <w:uiPriority w:val="99"/>
    <w:rPr>
      <w:kern w:val="2"/>
      <w:sz w:val="21"/>
      <w:szCs w:val="21"/>
    </w:rPr>
  </w:style>
  <w:style w:type="character" w:customStyle="1" w:styleId="27">
    <w:name w:val="15"/>
    <w:basedOn w:val="15"/>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9652</Words>
  <Characters>10098</Characters>
  <Lines>134</Lines>
  <Paragraphs>37</Paragraphs>
  <TotalTime>223</TotalTime>
  <ScaleCrop>false</ScaleCrop>
  <LinksUpToDate>false</LinksUpToDate>
  <CharactersWithSpaces>10838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2023-07-11T08:57:00Z</cp:lastPrinted>
  <dcterms:modified xsi:type="dcterms:W3CDTF">2023-07-12T08:41:12Z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481AE3D7026F401D8D78D189E53BCAEC_13</vt:lpwstr>
  </property>
</Properties>
</file>