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健康医学院综合楼四楼运动场地建设项目需求</w:t>
      </w:r>
    </w:p>
    <w:tbl>
      <w:tblPr>
        <w:tblStyle w:val="4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92"/>
        <w:gridCol w:w="7351"/>
        <w:gridCol w:w="617"/>
        <w:gridCol w:w="609"/>
        <w:gridCol w:w="574"/>
        <w:gridCol w:w="1149"/>
        <w:gridCol w:w="968"/>
        <w:gridCol w:w="17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工程单价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运动木地板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1、所提供的运动地板产品及施工应符合国家及行业相关规范和标准。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（1）GB/T20239-2015《体育馆用木质地板》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（2）GB/T19995.2-2005天然材料体育场地使用要求及检验方法中第2部分:综合体育场馆木地板场地；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2、运动地板产品符合GB/T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5运动性能：冲击吸收≥53%，球反弹率≥90%，滑动摩擦系数0.4到0.6，抗滚动荷载性能：施加1500N时，标准垂直变形≥2.3mm。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3、悬浮式单层龙骨结构地板系统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（1）系统固定科学合理。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面板选用符合国家球类竞赛的专业运动枫桦木A级指接地板，面板厚度≥22mm，宽度60mm—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mm（投标人提供规格应是统一的），实木拼接面板长≥1800mm。面板甲醛释放量应符合GB18580-2017《室内装饰装修材料人造板及制品中甲醛释放限量》；静曲强度、含水率、漆膜附着力、面耐磨、漆膜硬度符合国家及行业相关规范和标准。面板接缝质量：地板板块的缝隙严密，而且接头的位置错开，表面很洁净，拼缝很平直方正。面板不许有芯、色泽统一、原木色、基本无色差、无黑线、不起毛刺，并具有耐磨、防滑、难燃的特性。不准有死活节、虫眼、腐朽、钝棱、裂纹、横顺弯、残压余痕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载荷分布层（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毛地板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采用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胶合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板，厚度≥12mm，宽度≥1200mm，长度≥2440mm，防腐、防虫处理，符合国家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体育馆用木质地板材料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标准。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（3）龙骨采用是单层实木龙骨，材质为松木，四面做防腐处理，厚度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mm，宽度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mm，长度2000mm—4000mm。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（4）弹性垫层选用木地板专用弹性垫或天然橡胶减震垫，规格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0mm×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mm×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0mm，减震垫邵氏硬度50-70。</w:t>
            </w:r>
          </w:p>
          <w:p>
            <w:pPr>
              <w:spacing w:line="240" w:lineRule="auto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（5）运动地板采用运动木地板专用UV漆，油漆应防滑、耐磨、抗划擦。底漆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道，面漆两道，工厂内完漆。油漆挥发性有机化合物、卤代烃等应符合国家标准。无漏漆、平整、饱满、无气孔、针眼，在灯光照射下反光不影响运动员的发挥，不影响赛场区域面线的辨认。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（6）防潮膜：厚度≥0.5mm，达到防潮隔离、吸音降噪的效果，运动地板专用无纺布、EPE发泡膜或其他运动地板专用防潮膜。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4、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平整度误差：铺装好的木地板层表面，用2m靠尺测量，高差应不大于2mm；场地整体平整，在场地上任意选取间距15m的两点，用水准仪测量标高，其标高差值应不大于15mm。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投标运动木地板通过国际羽联和国际篮联认证，投标时提供认证证书和官网查询截图，</w:t>
            </w:r>
            <w:r>
              <w:rPr>
                <w:rStyle w:val="7"/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  <w:t>加盖制造商鲜章进行佐证，不满足或未提供按无效响应处理。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美凯、普利吉、东体运动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1204595" cy="809625"/>
                  <wp:effectExtent l="0" t="0" r="4445" b="0"/>
                  <wp:docPr id="20" name="图片 20" descr="168890651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688906515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1193165" cy="479425"/>
                  <wp:effectExtent l="0" t="0" r="5080" b="6350"/>
                  <wp:docPr id="23" name="图片 2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1202690" cy="806450"/>
                  <wp:effectExtent l="0" t="0" r="6350" b="3175"/>
                  <wp:docPr id="22" name="图片 2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1202690" cy="631825"/>
                  <wp:effectExtent l="0" t="0" r="6350" b="5080"/>
                  <wp:docPr id="21" name="图片 2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羽毛球地胶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纹路：砂粒纹；厚度：5.0≥mm，耐磨层厚度：1.3≥mm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1.硬度（邵A）：55-90（度）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2.拉伸强度≥1.0Mpa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3.拉断伸长率≥120%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4.可溶性重金属铅含量≤20mg/㎡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5.可溶性重金属镉含量≤20mg/㎡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6.挥发物含量≤50g/㎡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7.氯乙烯含量：未检出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8.防火燃烧性能B1级，20s内焰尖高度≤150mm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9.灰分含量≤0.2%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10.焊接强度，平均值≥500N/50mm；最小值≥400N/50mm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11.加热尺寸变化率（纵向，横向）≤0.4%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12.耐磨性T级，体积损失≤2.0mm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13.防滑性(湿法)≥0.6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14.提供28天后甲苯、乙苯释放量≤50μg/m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的检测报告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15.抗菌性能检测（大肠杆菌、金黄色葡萄球菌等5种以上细菌），抗菌率≥99.5%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16.耐酸耐碱老化≥3000h，符合抗滑值平均值≥95，可溶性铅、可溶性汞未检出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  <w:t>为保证响应资料的真实性，1-16条需提供带“CMA”标志的检测报告,并附带国家认证认可监督管理委员会官网（www.cnca.gov.cn）查询截图，加盖制造商鲜章进行佐证，不满足或未提供按无效响应处理。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(8片)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英利奥、欧立曼、启明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11860" cy="752475"/>
                  <wp:effectExtent l="0" t="0" r="5715" b="3175"/>
                  <wp:docPr id="1" name="图片 1" descr="羽毛球地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羽毛球地胶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羽毛球柱(含网)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移动式羽毛球柱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材质：全钢件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网柱高度：155cm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重量：172公斤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执行标准：QB/T2758.2-2005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钢件底座配有橡胶轮可移动，底座平稳无晃动，高度符合国际羽联规定，立柱采用无缝钢管，管壁厚度45mm，每套总重量不低于172公斤，底座分为上、中、下压块组成，便于运输及组装，立柱底部采用加强固定确保立柱拉紧后的角度垂直。立柱上配有拉紧网绳专用锁扣方便安装球网。涂层附着力达到一级，硬度达到2H，表面无皱纹、漏喷、气泡、脱皮及明显缺陷。喷涂前采取防锈处理，确保产品涂层长期使用不脱离。产品涂层材料不含有毒元素。各焊接部位牢固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维克多、李宁、尤尼克斯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13130" cy="1467485"/>
                  <wp:effectExtent l="0" t="0" r="4445" b="635"/>
                  <wp:docPr id="2" name="图片 2" descr="羽毛球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羽毛球柱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羽毛球专用灯具(含安装)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输入电压（Input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voltage）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AC100-240V/50HZ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功率（power）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：84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W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功率因数(PF)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0.9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色温（CCT）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：6300-6500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K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  <w:lang w:val="en-US" w:eastAsia="en-US" w:bidi="ar-SA"/>
              </w:rPr>
              <w:t>Ra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（CRI）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0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光源(Light)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：LUMILEDS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驱动(Driver)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：飞利浦电源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光效(Luminaire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efficacy)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1"/>
                <w:szCs w:val="21"/>
                <w:lang w:val="en-US" w:eastAsia="zh-CN" w:bidi="ar-SA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Lm/W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工作温度（Operating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temperaturerange）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  <w:lang w:val="en-US" w:eastAsia="en-US" w:bidi="ar-SA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30℃~+40℃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214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防护等级(IP)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IP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ar-SA"/>
              </w:rPr>
              <w:t>尺寸（Dimension）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：1200*600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ar-SA"/>
              </w:rPr>
              <w:t>mm</w:t>
            </w:r>
          </w:p>
          <w:p>
            <w:pPr>
              <w:spacing w:line="240" w:lineRule="auto"/>
              <w:rPr>
                <w:rStyle w:val="7"/>
                <w:rFonts w:hint="default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安装高度：5.5米-6米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顶明、七大洲、北斗星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1206500" cy="954405"/>
                  <wp:effectExtent l="0" t="0" r="2540" b="6350"/>
                  <wp:docPr id="24" name="图片 24" descr="羽毛球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羽毛球灯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球馆软件（可联网预约）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1、小程序场地预订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运动场馆专属小程序，在线预约，在线购票，预订到期系统自动提醒；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2、入场管理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用户可通过订场码、次卡门票码、会员卡快速入场；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3、门票售卖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用户可通过线下购买或者小程序自助购买门票简单方便；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4、会员储值营销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可对会员进行充值优惠，发送促销、节日、生日祝福维客短信等操作；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5、商品进销存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商品销售，商品进销存管理场馆库存数据心中有数；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6、培训管理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班级排课简单直观易操作，课程信息化高效管理；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7、智能收银台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打破传统软件收银记账模式实现无现金智慧收银；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8、数据中心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完善的经营数据统计，消费记录有据可查，多维度统计报表账本清晰明了。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商用中式台球桌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中式比赛球台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内径尺寸：2540*1260mm;外径尺寸：2845*1565*850mm;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扶手采用进口防火板，实用性强，整台采用全实木料，1.0汽车高弹钢板，12点微调，4.5公分九江精磨青石板，进口压铸铜口。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配件：比赛台泥1套、进口巨人球1套、中八台球罩1个、冲跳一体冲杆1只、球杆4只、8孔架杆1个、短高架杆1只、短低架杆1只、刷子1把、木三角架1个、皮头10个、手套10只、巧克1盒。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星牌、莱利(RILeY)、思蔻年华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02335" cy="514985"/>
                  <wp:effectExtent l="0" t="0" r="4445" b="3175"/>
                  <wp:docPr id="3" name="图片 3" descr="台球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台球桌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台球专用照明灯具(含安装)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【颜色】：白色、黑色木纹色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【光源】：LED(6000k-6500k）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【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功率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】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54W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【材质】：铝合金外壳、五金底盘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【尺寸】：长：1200mm、宽：300mm、高：65mm、吊线：1500mm（可调节）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LED透镜光源，光效高，低光衰发光均衡，柔和舒适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无可视频闪，节能护眼；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1.55mm加厚全新铝材防变形防生锈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大型数码一体冲压技术底盘和外框紧密衔接，美观大方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质感金属烤漆灯身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加粗金属吊绳牢固安全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加厚金属底盘承重强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09320" cy="579755"/>
                  <wp:effectExtent l="0" t="0" r="8255" b="3175"/>
                  <wp:docPr id="6" name="图片 6" descr="台球桌吊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台球桌吊灯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台球区域地毯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环保材质，柔软舒适，耐磨耐踩，加密绒面，图案精致，可干洗、吸尘；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厚度：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≥6mm；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13130" cy="660400"/>
                  <wp:effectExtent l="0" t="0" r="4445" b="8890"/>
                  <wp:docPr id="46" name="图片 46" descr="168880240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16888024025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乒乓球台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台面尺寸长：2740+3 mm,宽1525±2mm，台高: 760±2mm，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台面平整度：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台面的平整度误差应≤3mm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，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台面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光泽度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球台表面的光泽度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15，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弹性: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平均反弹高度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230-260mm、弹性均匀度:≤5mm、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台面摩擦系数:≤0.6、球台稳定性:＜10mm，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外脚方管直径不小于50mm，台脚装有脚轮且脚轮直径≥75mm,轮子宽度≥20mm。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拱形设计，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半副可竖放，移动方便，球台通过ITTF认证。含通过ITTF认证的网架（带网）一套。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红双喜、双鱼、多尼克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13130" cy="528955"/>
                  <wp:effectExtent l="0" t="0" r="4445" b="0"/>
                  <wp:docPr id="7" name="图片 7" descr="大彩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大彩虹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乒乓球地胶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纹路：布纹；产品厚度：≥5.0mm；耐磨层厚度：≥1.3mm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1.硬度（邵A）：55-90（度）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2.拉伸强度≥1.0Mpa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3.拉断伸长率≥120%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4.可溶性重金属铅含量≤20mg/㎡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5.可溶性重金属镉含量≤20mg/㎡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6.挥发物含量≤50g/㎡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7.氯乙烯含量：未检出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8.防火燃烧性能B1级，20s内焰尖高度≤150mm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9.灰分含量≤0.2%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10.焊接强度，平均值≥500N/50mm；最小值≥400N/50mm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11.加热尺寸变化率（纵向，横向）≤0.4%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12.耐磨性T级，体积损失≤2.0mm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13.防滑性(湿法)≥0.6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14.耐环境应力开裂检测≥2000h，达到破裂率0%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15.耐人工气候（透过玻璃）老化≥3000h，外观不准许有裂纹，达到耐污染性0级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16.要求和PVC地板同品牌的胶粘剂中苯，甲苯、二甲苯和可溶性铅全部未检出。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  <w:t>为保证响应资料的真实性，1-16条需提供带“CMA”标志的检测报告,并附带国家认证认可监督管理委员会官网（www.cnca.gov.cn）查询截图，加盖制造商鲜章进行佐证，不满足或未提供按无效响应处理。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英利奥、欧立曼、启明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07415" cy="785495"/>
                  <wp:effectExtent l="0" t="0" r="10160" b="2540"/>
                  <wp:docPr id="8" name="图片 8" descr="乒乓球单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乒乓球单价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乒乓球专用照明灯具(含安装)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输入电压（Input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voltage）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AC100-240V/50HZ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功率（power）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W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功率因数(PF)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0.9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色温（CCT）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：6300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K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-6500K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  <w:lang w:val="en-US" w:eastAsia="en-US" w:bidi="ar-SA"/>
              </w:rPr>
              <w:t>Ra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（CRI）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0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光源(Light)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LUMILEDS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驱动(Driver)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：东菱电源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光效(Luminaire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efficacy)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100Lm/W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工作温度（Operating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temperaturerange）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  <w:lang w:val="en-US" w:eastAsia="en-US" w:bidi="ar-SA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30℃~+40℃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214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防护等级(IP)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IP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鳍片散热器+防眩目灯罩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安装高度：6-8米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顶明、七大洲、北斗星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1088390" cy="968375"/>
                  <wp:effectExtent l="0" t="0" r="1905" b="3175"/>
                  <wp:docPr id="35" name="图片 35" descr="圆筒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圆筒灯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乒乓球挡板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材质：弹力布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规格：约1400*750mm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特点：新型高强度轻质框架+弹力布挡板，更好平整度和直线度。组装式轻型挡板，框架可分拆。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红双喜、双鱼、多尼克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11860" cy="502285"/>
                  <wp:effectExtent l="0" t="0" r="5715" b="5080"/>
                  <wp:docPr id="10" name="图片 10" descr="168863392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886339270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场馆正常照明(含安装)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输入电压（Input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voltage）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AC100-240V/50HZ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功率（power）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W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功率因数(PF)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0.9</w:t>
            </w:r>
            <w:bookmarkStart w:id="0" w:name="_GoBack"/>
            <w:bookmarkEnd w:id="0"/>
          </w:p>
          <w:p>
            <w:pPr>
              <w:spacing w:after="0" w:line="240" w:lineRule="auto"/>
              <w:ind w:left="0" w:right="0" w:firstLine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色温（CCT）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：6300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K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-6500K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  <w:lang w:val="en-US" w:eastAsia="en-US" w:bidi="ar-SA"/>
              </w:rPr>
              <w:t>Ra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（CRI）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0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光源(Light)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LUMILEDS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驱动(Driver)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：东菱电源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光效(Luminaire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efficacy)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100Lm/W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工作温度（Operating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temperaturerange）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1"/>
                <w:szCs w:val="21"/>
                <w:lang w:val="en-US" w:eastAsia="en-US" w:bidi="ar-SA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30℃~+40℃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214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防护等级(IP)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  <w:t>IP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鳍片散热器+防眩目灯罩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安装高度：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1"/>
                <w:szCs w:val="21"/>
                <w:lang w:val="en-US" w:eastAsia="en-US" w:bidi="ar-SA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10米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顶明、七大洲、北斗星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913130" cy="812800"/>
                  <wp:effectExtent l="0" t="0" r="4445" b="7620"/>
                  <wp:docPr id="34" name="图片 34" descr="圆筒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圆筒灯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台球休息沙发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尺寸：180*70*110CM,主体坚固碳素钢材质，面层聚氨酯座垫。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893445" cy="603885"/>
                  <wp:effectExtent l="0" t="0" r="2540" b="635"/>
                  <wp:docPr id="47" name="图片 5" descr="168699573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5" descr="16869957376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乒乓球、羽毛球区域休息椅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尺寸：120*65*80CM，主体金属材质，面层聚氨酯座垫。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1002665" cy="755650"/>
                  <wp:effectExtent l="0" t="0" r="1270" b="0"/>
                  <wp:docPr id="48" name="图片 2" descr="168699370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" descr="16869937062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合计金额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952" w:right="1100" w:bottom="952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jI5ODU1NmY5NWI2NjJmZTRlNWY0NjQ3ZmE5NWYifQ=="/>
  </w:docVars>
  <w:rsids>
    <w:rsidRoot w:val="00000000"/>
    <w:rsid w:val="052941C6"/>
    <w:rsid w:val="0C9A3D85"/>
    <w:rsid w:val="10402DE0"/>
    <w:rsid w:val="1208698F"/>
    <w:rsid w:val="12540016"/>
    <w:rsid w:val="14B24FCD"/>
    <w:rsid w:val="1E933E49"/>
    <w:rsid w:val="1F536ECD"/>
    <w:rsid w:val="21EB074A"/>
    <w:rsid w:val="21F74787"/>
    <w:rsid w:val="28915F93"/>
    <w:rsid w:val="32662055"/>
    <w:rsid w:val="330D79CF"/>
    <w:rsid w:val="38B72148"/>
    <w:rsid w:val="39811D79"/>
    <w:rsid w:val="3B205AD3"/>
    <w:rsid w:val="3F2D65FF"/>
    <w:rsid w:val="42C12A45"/>
    <w:rsid w:val="43FA5CE6"/>
    <w:rsid w:val="464949B7"/>
    <w:rsid w:val="484B39F9"/>
    <w:rsid w:val="4CB46A0F"/>
    <w:rsid w:val="4F9F1B0F"/>
    <w:rsid w:val="51DD580E"/>
    <w:rsid w:val="52D06113"/>
    <w:rsid w:val="5420495E"/>
    <w:rsid w:val="562D1713"/>
    <w:rsid w:val="5AE42C8A"/>
    <w:rsid w:val="5BD81C8C"/>
    <w:rsid w:val="5C21407D"/>
    <w:rsid w:val="5D1A53B5"/>
    <w:rsid w:val="5F45435D"/>
    <w:rsid w:val="60B32368"/>
    <w:rsid w:val="60B4358C"/>
    <w:rsid w:val="65FC3B66"/>
    <w:rsid w:val="67DB0934"/>
    <w:rsid w:val="6AC8576F"/>
    <w:rsid w:val="6D5B22CD"/>
    <w:rsid w:val="713E374F"/>
    <w:rsid w:val="7E8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3375</Words>
  <Characters>4489</Characters>
  <Lines>0</Lines>
  <Paragraphs>0</Paragraphs>
  <TotalTime>21</TotalTime>
  <ScaleCrop>false</ScaleCrop>
  <LinksUpToDate>false</LinksUpToDate>
  <CharactersWithSpaces>4534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2023-07-06T08:14:00Z</dcterms:created>
  <dc:creator>user</dc:creator>
  <cp:lastModifiedBy>梧桐雨</cp:lastModifiedBy>
  <dcterms:modified xsi:type="dcterms:W3CDTF">2023-07-10T05:03:19Z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A8C74FA7D8D148A09EE24D48AF252711_13</vt:lpwstr>
  </property>
</Properties>
</file>