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宋体" w:hAnsi="宋体" w:cs="宋体"/>
          <w:b/>
          <w:bCs/>
          <w:sz w:val="32"/>
          <w:szCs w:val="32"/>
          <w:lang w:val="en-US" w:eastAsia="zh-CN"/>
        </w:rPr>
        <w:t>土木工程学院现代建筑技术</w:t>
      </w:r>
      <w:r>
        <w:rPr>
          <w:rFonts w:hint="eastAsia"/>
          <w:b/>
          <w:bCs/>
          <w:color w:val="000000"/>
          <w:sz w:val="32"/>
          <w:szCs w:val="32"/>
        </w:rPr>
        <w:t>实验室</w:t>
      </w:r>
      <w:r>
        <w:rPr>
          <w:rFonts w:hint="eastAsia"/>
          <w:b/>
          <w:bCs/>
          <w:sz w:val="32"/>
          <w:szCs w:val="32"/>
          <w:lang w:val="en-US" w:eastAsia="zh-CN"/>
        </w:rPr>
        <w:t>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ZCZB2023047</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10</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17</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土木工程学院现代建筑技术实验室建设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现代建筑技术实验室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hint="eastAsia" w:ascii="仿宋" w:hAnsi="仿宋" w:eastAsia="仿宋" w:cs="仿宋"/>
          <w:sz w:val="24"/>
          <w:lang w:val="en-US" w:eastAsia="zh-CN"/>
        </w:rPr>
      </w:pPr>
      <w:r>
        <w:rPr>
          <w:rFonts w:hint="eastAsia" w:ascii="仿宋" w:hAnsi="仿宋" w:eastAsia="仿宋" w:cs="仿宋"/>
          <w:sz w:val="24"/>
        </w:rPr>
        <w:t>2、招标内容：</w:t>
      </w:r>
      <w:r>
        <w:rPr>
          <w:rFonts w:hint="eastAsia" w:ascii="仿宋" w:hAnsi="仿宋" w:eastAsia="仿宋" w:cs="仿宋"/>
          <w:sz w:val="24"/>
          <w:lang w:val="en-US" w:eastAsia="zh-CN"/>
        </w:rPr>
        <w:t>标段一：测量机器人；</w:t>
      </w:r>
    </w:p>
    <w:p>
      <w:pPr>
        <w:spacing w:line="360" w:lineRule="exact"/>
        <w:ind w:left="-1"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             标段二：混合现实装备；</w:t>
      </w:r>
    </w:p>
    <w:p>
      <w:pPr>
        <w:spacing w:line="360" w:lineRule="exact"/>
        <w:ind w:left="-1"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             标段三：无人机测绘系统；</w:t>
      </w:r>
    </w:p>
    <w:p>
      <w:pPr>
        <w:spacing w:line="360" w:lineRule="exact"/>
        <w:ind w:left="-1"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             标段四：桌面式混凝土3D打印机</w:t>
      </w:r>
    </w:p>
    <w:p>
      <w:pPr>
        <w:spacing w:line="360" w:lineRule="exact"/>
        <w:ind w:left="0" w:leftChars="0" w:firstLine="1879" w:firstLineChars="783"/>
        <w:rPr>
          <w:rFonts w:hint="default" w:ascii="仿宋" w:hAnsi="仿宋" w:eastAsia="仿宋" w:cs="仿宋"/>
          <w:sz w:val="24"/>
          <w:lang w:val="en-US" w:eastAsia="zh-CN"/>
        </w:rPr>
      </w:pPr>
      <w:r>
        <w:rPr>
          <w:rFonts w:hint="eastAsia" w:ascii="仿宋" w:hAnsi="仿宋" w:eastAsia="仿宋" w:cs="仿宋"/>
          <w:color w:val="FF0000"/>
          <w:sz w:val="24"/>
          <w:lang w:val="en-US" w:eastAsia="zh-CN"/>
        </w:rPr>
        <w:t>供应商可单独投任一标段，也可投多个标段。</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建筑楼101、105。</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color w:val="0000FF"/>
          <w:sz w:val="24"/>
          <w:highlight w:val="none"/>
          <w:lang w:val="en-US" w:eastAsia="zh-CN"/>
        </w:rPr>
        <w:t>11</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20日</w:t>
      </w:r>
      <w:r>
        <w:rPr>
          <w:rFonts w:hint="eastAsia" w:ascii="仿宋" w:hAnsi="仿宋" w:eastAsia="仿宋" w:cs="仿宋"/>
          <w:sz w:val="24"/>
          <w:highlight w:val="none"/>
          <w:lang w:val="en-US" w:eastAsia="zh-CN"/>
        </w:rPr>
        <w:t>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b/>
          <w:bCs/>
          <w:color w:val="0000FF"/>
          <w:sz w:val="24"/>
          <w:highlight w:val="none"/>
          <w:lang w:val="en-US" w:eastAsia="zh-CN"/>
        </w:rPr>
        <w:t>任一标段或多个标段招标文件售价均为</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b/>
          <w:bCs/>
          <w:color w:val="0000FF"/>
          <w:sz w:val="24"/>
          <w:highlight w:val="none"/>
          <w:lang w:val="en-US" w:eastAsia="zh-CN"/>
        </w:rPr>
        <w:t>任一标段或多个标段投标保证金均为</w:t>
      </w:r>
      <w:r>
        <w:rPr>
          <w:rFonts w:hint="eastAsia" w:ascii="仿宋" w:hAnsi="仿宋" w:eastAsia="仿宋" w:cs="仿宋"/>
          <w:color w:val="0000FF"/>
          <w:sz w:val="24"/>
          <w:highlight w:val="none"/>
        </w:rPr>
        <w:t>人民币</w:t>
      </w:r>
      <w:r>
        <w:rPr>
          <w:rFonts w:hint="eastAsia" w:ascii="仿宋" w:hAnsi="仿宋" w:eastAsia="仿宋" w:cs="仿宋"/>
          <w:color w:val="0000FF"/>
          <w:sz w:val="24"/>
          <w:highlight w:val="none"/>
          <w:lang w:val="en-US" w:eastAsia="zh-CN"/>
        </w:rPr>
        <w:t>10000</w:t>
      </w:r>
      <w:r>
        <w:rPr>
          <w:rFonts w:hint="eastAsia" w:ascii="仿宋" w:hAnsi="仿宋" w:eastAsia="仿宋" w:cs="仿宋"/>
          <w:color w:val="0000FF"/>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2、递交投标文件时间：202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:00前）将投标文件（要求密封）递交我校资产与基建处招标采购中心。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b/>
          <w:bCs/>
          <w:sz w:val="24"/>
          <w:highlight w:val="none"/>
        </w:rPr>
      </w:pPr>
      <w:r>
        <w:rPr>
          <w:rFonts w:hint="eastAsia" w:ascii="仿宋" w:hAnsi="仿宋" w:eastAsia="仿宋" w:cs="仿宋"/>
          <w:b/>
          <w:bCs/>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lang w:val="en-US" w:eastAsia="zh-CN"/>
        </w:rPr>
        <w:t>九</w:t>
      </w:r>
      <w:r>
        <w:rPr>
          <w:rFonts w:hint="eastAsia" w:ascii="仿宋" w:hAnsi="仿宋" w:eastAsia="仿宋" w:cs="仿宋"/>
          <w:b/>
          <w:bCs/>
          <w:kern w:val="2"/>
        </w:rPr>
        <w:t>、与本次谈判有关的商务事宜请按下列通讯方式联系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rFonts w:hint="eastAsia" w:ascii="仿宋" w:hAnsi="仿宋" w:eastAsia="仿宋" w:cs="仿宋"/>
          <w:b w:val="0"/>
          <w:bCs w:val="0"/>
          <w:kern w:val="2"/>
          <w:sz w:val="24"/>
          <w:szCs w:val="24"/>
          <w:lang w:val="en-US" w:eastAsia="zh-CN"/>
        </w:rPr>
      </w:pPr>
      <w:r>
        <w:rPr>
          <w:rFonts w:hint="eastAsia" w:ascii="仿宋" w:hAnsi="仿宋" w:eastAsia="仿宋" w:cs="仿宋"/>
          <w:b w:val="0"/>
          <w:bCs w:val="0"/>
          <w:color w:val="auto"/>
          <w:kern w:val="2"/>
          <w:sz w:val="24"/>
          <w:szCs w:val="24"/>
          <w:lang w:val="en-US" w:eastAsia="zh-CN"/>
        </w:rPr>
        <w:t>技术联系人及方式：</w:t>
      </w:r>
      <w:r>
        <w:rPr>
          <w:rFonts w:hint="eastAsia" w:ascii="仿宋" w:hAnsi="仿宋" w:eastAsia="仿宋" w:cs="仿宋"/>
          <w:b w:val="0"/>
          <w:bCs w:val="0"/>
          <w:kern w:val="2"/>
          <w:sz w:val="24"/>
          <w:szCs w:val="24"/>
          <w:lang w:val="en-US" w:eastAsia="zh-CN"/>
        </w:rPr>
        <w:t>孙老师;18689999686(标段一、标段二、标段三)</w:t>
      </w:r>
    </w:p>
    <w:p>
      <w:pPr>
        <w:jc w:val="both"/>
        <w:rPr>
          <w:rFonts w:hint="default" w:ascii="仿宋" w:hAnsi="仿宋" w:eastAsia="仿宋" w:cs="仿宋"/>
          <w:color w:val="4F81BD" w:themeColor="accent1"/>
          <w:kern w:val="2"/>
          <w:sz w:val="24"/>
          <w:szCs w:val="24"/>
          <w:lang w:val="en-US" w:eastAsia="zh-CN" w:bidi="ar-SA"/>
          <w14:textFill>
            <w14:gradFill>
              <w14:gsLst>
                <w14:gs w14:pos="0">
                  <w14:srgbClr w14:val="56A0B9"/>
                </w14:gs>
                <w14:gs w14:pos="100000">
                  <w14:srgbClr w14:val="5DBDC3"/>
                </w14:gs>
              </w14:gsLst>
              <w14:lin w14:ang="2700000" w14:scaled="1"/>
            </w14:gradFill>
          </w14:textFill>
        </w:rPr>
      </w:pPr>
      <w:r>
        <w:rPr>
          <w:rFonts w:hint="eastAsia" w:ascii="仿宋" w:hAnsi="仿宋" w:eastAsia="仿宋" w:cs="仿宋"/>
          <w:b w:val="0"/>
          <w:bCs w:val="0"/>
          <w:kern w:val="2"/>
          <w:sz w:val="24"/>
          <w:szCs w:val="24"/>
          <w:lang w:val="en-US" w:eastAsia="zh-CN"/>
        </w:rPr>
        <w:t xml:space="preserve">                  解老师13862722877（标段四）</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bookmarkStart w:id="53" w:name="_GoBack"/>
      <w:bookmarkEnd w:id="53"/>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 交货时间、地点、系统安装调试及项目验收</w:t>
      </w:r>
    </w:p>
    <w:p>
      <w:pPr>
        <w:spacing w:before="100" w:after="100"/>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2023年11月20日前完成安装调试并交付使用</w:t>
      </w:r>
      <w:r>
        <w:rPr>
          <w:rFonts w:hint="eastAsia" w:ascii="宋体" w:hAnsi="宋体" w:eastAsia="宋体" w:cs="宋体"/>
          <w:color w:val="auto"/>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color w:val="auto"/>
          <w:sz w:val="24"/>
          <w:szCs w:val="24"/>
        </w:rPr>
      </w:pPr>
      <w:r>
        <w:rPr>
          <w:rFonts w:hint="eastAsia" w:ascii="宋体" w:hAnsi="宋体" w:eastAsia="宋体" w:cs="宋体"/>
          <w:color w:val="auto"/>
          <w:sz w:val="24"/>
          <w:szCs w:val="24"/>
        </w:rPr>
        <w:t>按设计要求及国家相关标准规范组织验收。</w:t>
      </w:r>
    </w:p>
    <w:p>
      <w:pPr>
        <w:spacing w:before="100" w:after="100"/>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二、售后及培训服务</w:t>
      </w:r>
    </w:p>
    <w:p>
      <w:pPr>
        <w:spacing w:before="100" w:after="10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color w:val="auto"/>
          <w:sz w:val="24"/>
          <w:szCs w:val="24"/>
        </w:rPr>
        <w:t>．</w:t>
      </w:r>
      <w:r>
        <w:rPr>
          <w:rFonts w:hint="eastAsia" w:ascii="宋体" w:hAnsi="宋体" w:eastAsia="宋体" w:cs="宋体"/>
          <w:color w:val="auto"/>
          <w:sz w:val="24"/>
          <w:szCs w:val="24"/>
        </w:rPr>
        <w:t>售后维护方面，需有不少于</w:t>
      </w:r>
      <w:r>
        <w:rPr>
          <w:rFonts w:hint="eastAsia" w:ascii="宋体" w:hAnsi="宋体" w:cs="宋体"/>
          <w:color w:val="auto"/>
          <w:sz w:val="24"/>
          <w:szCs w:val="24"/>
          <w:lang w:eastAsia="zh-CN"/>
        </w:rPr>
        <w:t>每年两次</w:t>
      </w:r>
      <w:r>
        <w:rPr>
          <w:rFonts w:hint="eastAsia" w:ascii="宋体" w:hAnsi="宋体" w:eastAsia="宋体" w:cs="宋体"/>
          <w:color w:val="auto"/>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color w:val="auto"/>
          <w:sz w:val="24"/>
          <w:szCs w:val="24"/>
        </w:rPr>
        <w:t>．</w:t>
      </w:r>
      <w:r>
        <w:rPr>
          <w:rFonts w:hint="eastAsia" w:ascii="宋体" w:hAnsi="宋体" w:eastAsia="宋体" w:cs="宋体"/>
          <w:color w:val="auto"/>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color w:val="auto"/>
          <w:sz w:val="24"/>
          <w:szCs w:val="24"/>
        </w:rPr>
        <w:t>．</w:t>
      </w:r>
      <w:r>
        <w:rPr>
          <w:rFonts w:hint="eastAsia" w:ascii="宋体" w:hAnsi="宋体" w:eastAsia="宋体" w:cs="宋体"/>
          <w:color w:val="auto"/>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color w:val="auto"/>
          <w:sz w:val="24"/>
          <w:szCs w:val="24"/>
        </w:rPr>
        <w:t>．</w:t>
      </w:r>
      <w:r>
        <w:rPr>
          <w:rFonts w:hint="eastAsia" w:ascii="宋体" w:hAnsi="宋体" w:eastAsia="宋体" w:cs="宋体"/>
          <w:color w:val="auto"/>
          <w:sz w:val="24"/>
          <w:szCs w:val="24"/>
        </w:rPr>
        <w:t>中标人应明确系统完善、免费维护期满后的维护方案和费用等。</w:t>
      </w:r>
    </w:p>
    <w:p>
      <w:pPr>
        <w:spacing w:before="100" w:after="10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b/>
          <w:color w:val="auto"/>
          <w:sz w:val="24"/>
          <w:szCs w:val="24"/>
        </w:rPr>
        <w:t>．</w:t>
      </w:r>
      <w:r>
        <w:rPr>
          <w:rFonts w:hint="eastAsia" w:ascii="宋体" w:hAnsi="宋体" w:eastAsia="宋体" w:cs="宋体"/>
          <w:color w:val="auto"/>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b/>
          <w:color w:val="auto"/>
          <w:sz w:val="24"/>
          <w:szCs w:val="24"/>
        </w:rPr>
        <w:t>．</w:t>
      </w:r>
      <w:r>
        <w:rPr>
          <w:rFonts w:hint="eastAsia" w:ascii="宋体" w:hAnsi="宋体" w:eastAsia="宋体" w:cs="宋体"/>
          <w:color w:val="auto"/>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宋体" w:hAnsi="宋体" w:eastAsia="宋体" w:cs="宋体"/>
          <w:color w:val="auto"/>
          <w:sz w:val="24"/>
          <w:szCs w:val="24"/>
        </w:rPr>
        <w:t>对提供的产品免费保修期（质保期）为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b/>
          <w:color w:val="auto"/>
          <w:sz w:val="24"/>
          <w:szCs w:val="24"/>
        </w:rPr>
        <w:t>．</w:t>
      </w:r>
      <w:r>
        <w:rPr>
          <w:rFonts w:hint="eastAsia" w:ascii="宋体" w:hAnsi="宋体" w:eastAsia="宋体" w:cs="宋体"/>
          <w:color w:val="auto"/>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 报价要求：</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1、报价应注明各产品</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rPr>
        <w:t>规格、型号、参数、数量等。</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2、提供以本标书清单为基准的项目报价；一个标的只允许一个报价，不接受任何</w:t>
      </w:r>
      <w:r>
        <w:rPr>
          <w:rFonts w:hint="eastAsia" w:ascii="宋体" w:hAnsi="宋体" w:eastAsia="宋体" w:cs="宋体"/>
          <w:color w:val="auto"/>
          <w:sz w:val="24"/>
          <w:szCs w:val="24"/>
          <w:lang w:eastAsia="zh-CN"/>
        </w:rPr>
        <w:t>有选择性的</w:t>
      </w:r>
      <w:r>
        <w:rPr>
          <w:rFonts w:hint="eastAsia" w:ascii="宋体" w:hAnsi="宋体" w:eastAsia="宋体" w:cs="宋体"/>
          <w:color w:val="auto"/>
          <w:sz w:val="24"/>
          <w:szCs w:val="24"/>
        </w:rPr>
        <w:t>报价。</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3、报价方式为国内</w:t>
      </w:r>
      <w:r>
        <w:rPr>
          <w:rFonts w:hint="eastAsia" w:ascii="宋体" w:hAnsi="宋体" w:eastAsia="宋体" w:cs="宋体"/>
          <w:color w:val="auto"/>
          <w:sz w:val="24"/>
          <w:szCs w:val="24"/>
          <w:lang w:eastAsia="zh-CN"/>
        </w:rPr>
        <w:t>指定地点</w:t>
      </w:r>
      <w:r>
        <w:rPr>
          <w:rFonts w:hint="eastAsia" w:ascii="宋体" w:hAnsi="宋体" w:eastAsia="宋体" w:cs="宋体"/>
          <w:color w:val="auto"/>
          <w:sz w:val="24"/>
          <w:szCs w:val="24"/>
        </w:rPr>
        <w:t>交货价，并以人民币为报价货币，报价中必须包含设备的购置费用、运输费用、售后服务费用以及各种税务费用</w:t>
      </w:r>
      <w:r>
        <w:rPr>
          <w:rFonts w:hint="eastAsia" w:ascii="宋体" w:hAnsi="宋体" w:eastAsia="宋体" w:cs="宋体"/>
          <w:color w:val="auto"/>
          <w:sz w:val="24"/>
          <w:szCs w:val="24"/>
          <w:lang w:eastAsia="zh-CN"/>
        </w:rPr>
        <w:t>（提供增值税专用发票）</w:t>
      </w:r>
      <w:r>
        <w:rPr>
          <w:rFonts w:hint="eastAsia" w:ascii="宋体" w:hAnsi="宋体" w:eastAsia="宋体" w:cs="宋体"/>
          <w:color w:val="auto"/>
          <w:sz w:val="24"/>
          <w:szCs w:val="24"/>
        </w:rPr>
        <w:t>。</w:t>
      </w:r>
    </w:p>
    <w:p>
      <w:pPr>
        <w:spacing w:before="100" w:after="100"/>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4、报价</w:t>
      </w:r>
      <w:r>
        <w:rPr>
          <w:rFonts w:hint="eastAsia" w:ascii="宋体" w:hAnsi="宋体" w:cs="宋体"/>
          <w:color w:val="auto"/>
          <w:sz w:val="24"/>
          <w:szCs w:val="24"/>
          <w:lang w:eastAsia="zh-CN"/>
        </w:rPr>
        <w:t>应包含</w:t>
      </w:r>
      <w:r>
        <w:rPr>
          <w:rFonts w:hint="eastAsia" w:ascii="宋体" w:hAnsi="宋体" w:eastAsia="宋体" w:cs="宋体"/>
          <w:color w:val="auto"/>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auto"/>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auto"/>
          <w:sz w:val="24"/>
          <w:szCs w:val="24"/>
          <w:lang w:val="en-US" w:eastAsia="zh-CN"/>
        </w:rPr>
        <w:t xml:space="preserve"> 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color w:val="auto"/>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12022"/>
      <w:bookmarkStart w:id="2" w:name="_Toc34991461"/>
      <w:bookmarkStart w:id="3" w:name="_Toc231280344"/>
      <w:bookmarkStart w:id="4" w:name="_Toc231279666"/>
      <w:bookmarkStart w:id="5" w:name="_Toc231279737"/>
      <w:bookmarkStart w:id="6" w:name="_Toc231280804"/>
      <w:bookmarkStart w:id="7" w:name="_Toc231305090"/>
      <w:bookmarkStart w:id="8" w:name="_Toc231289771"/>
      <w:bookmarkStart w:id="9" w:name="_Toc231280938"/>
      <w:bookmarkStart w:id="10" w:name="_Toc231284489"/>
      <w:bookmarkStart w:id="11" w:name="_Toc231289905"/>
      <w:bookmarkStart w:id="12" w:name="_Toc231282228"/>
      <w:bookmarkStart w:id="13" w:name="_Toc231281339"/>
      <w:bookmarkStart w:id="14" w:name="_Toc231279247"/>
      <w:bookmarkStart w:id="15" w:name="_Toc231279586"/>
      <w:bookmarkStart w:id="16" w:name="_Toc231289932"/>
      <w:bookmarkStart w:id="17" w:name="_Toc231304988"/>
      <w:bookmarkStart w:id="18" w:name="_Toc231279156"/>
      <w:bookmarkStart w:id="19" w:name="_Toc231276966"/>
      <w:bookmarkStart w:id="20" w:name="_Toc231281705"/>
      <w:bookmarkStart w:id="21" w:name="_Toc231286901"/>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0593"/>
      <w:bookmarkStart w:id="23" w:name="_Toc34991462"/>
      <w:bookmarkStart w:id="24" w:name="_Toc407266082"/>
      <w:bookmarkStart w:id="25" w:name="_Toc231280807"/>
      <w:bookmarkStart w:id="26" w:name="_Toc231284492"/>
      <w:bookmarkStart w:id="27" w:name="_Toc231286904"/>
      <w:bookmarkStart w:id="28" w:name="_Toc231281708"/>
      <w:bookmarkStart w:id="29" w:name="_Toc231281342"/>
      <w:bookmarkStart w:id="30" w:name="_Toc231280941"/>
      <w:bookmarkStart w:id="31" w:name="_Toc231305093"/>
      <w:bookmarkStart w:id="32" w:name="_Toc231304991"/>
      <w:bookmarkStart w:id="33" w:name="_Toc231279589"/>
      <w:bookmarkStart w:id="34" w:name="_Toc231280347"/>
      <w:bookmarkStart w:id="35" w:name="_Toc231279669"/>
      <w:bookmarkStart w:id="36" w:name="_Toc231289935"/>
      <w:bookmarkStart w:id="37" w:name="_Toc231279740"/>
      <w:bookmarkStart w:id="38" w:name="_Toc231282231"/>
      <w:bookmarkStart w:id="39" w:name="_Toc231289774"/>
      <w:bookmarkStart w:id="40" w:name="_Toc231289908"/>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0E6D72"/>
    <w:rsid w:val="02366BFC"/>
    <w:rsid w:val="02C34648"/>
    <w:rsid w:val="034706E5"/>
    <w:rsid w:val="051605BC"/>
    <w:rsid w:val="052563AB"/>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6B4217"/>
    <w:rsid w:val="17AC2ABD"/>
    <w:rsid w:val="17D14778"/>
    <w:rsid w:val="17F3139A"/>
    <w:rsid w:val="18465780"/>
    <w:rsid w:val="1A193F3B"/>
    <w:rsid w:val="1AB23575"/>
    <w:rsid w:val="1B2E70E8"/>
    <w:rsid w:val="1C0466A8"/>
    <w:rsid w:val="1C364BBA"/>
    <w:rsid w:val="1CA476F7"/>
    <w:rsid w:val="1CFC4FCF"/>
    <w:rsid w:val="1D3A6D75"/>
    <w:rsid w:val="1D793B55"/>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4D7D6F"/>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04F77B5"/>
    <w:rsid w:val="513D7296"/>
    <w:rsid w:val="520B348B"/>
    <w:rsid w:val="52464F50"/>
    <w:rsid w:val="529275A5"/>
    <w:rsid w:val="52C553E8"/>
    <w:rsid w:val="551574BA"/>
    <w:rsid w:val="57C46052"/>
    <w:rsid w:val="58E514AF"/>
    <w:rsid w:val="5A4C3E5A"/>
    <w:rsid w:val="5B4E3863"/>
    <w:rsid w:val="5CEA1B7D"/>
    <w:rsid w:val="5D8C3A2F"/>
    <w:rsid w:val="5E9474D3"/>
    <w:rsid w:val="5F230066"/>
    <w:rsid w:val="60430CEA"/>
    <w:rsid w:val="616B0426"/>
    <w:rsid w:val="61B91426"/>
    <w:rsid w:val="62126170"/>
    <w:rsid w:val="62B03E2D"/>
    <w:rsid w:val="65DB3287"/>
    <w:rsid w:val="66093965"/>
    <w:rsid w:val="67784E22"/>
    <w:rsid w:val="68FA0664"/>
    <w:rsid w:val="69D525EC"/>
    <w:rsid w:val="6B8B1316"/>
    <w:rsid w:val="6BC1223C"/>
    <w:rsid w:val="6BE33FA7"/>
    <w:rsid w:val="6C213774"/>
    <w:rsid w:val="6C465F5C"/>
    <w:rsid w:val="6C6178D9"/>
    <w:rsid w:val="70B34FC2"/>
    <w:rsid w:val="72224E32"/>
    <w:rsid w:val="72C47013"/>
    <w:rsid w:val="73CC7AC9"/>
    <w:rsid w:val="747554DC"/>
    <w:rsid w:val="7548217D"/>
    <w:rsid w:val="75B94E29"/>
    <w:rsid w:val="77C16289"/>
    <w:rsid w:val="77C819C8"/>
    <w:rsid w:val="77D53B6D"/>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9638</Words>
  <Characters>10093</Characters>
  <Lines>134</Lines>
  <Paragraphs>37</Paragraphs>
  <TotalTime>0</TotalTime>
  <ScaleCrop>false</ScaleCrop>
  <LinksUpToDate>false</LinksUpToDate>
  <CharactersWithSpaces>10828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2022-10-18T09:15:00Z</cp:lastPrinted>
  <dcterms:modified xsi:type="dcterms:W3CDTF">2023-10-16T05:45:02Z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0C3A850912C548ED89255BC134BBCF1C_13</vt:lpwstr>
  </property>
</Properties>
</file>