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工程训练中心机器人大赛创新实验室建设</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ZCZB2024010</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工程训练中心机器人大赛创新实验室建设项目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工程训练中心机器人大赛创新实验室建设项目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南通校区智能制造大楼2层南侧。</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2024年4月30日前交付使用。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1"/>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技术咨询：沙老</w:t>
      </w:r>
      <w:r>
        <w:rPr>
          <w:rFonts w:hint="eastAsia" w:ascii="黑体" w:hAnsi="黑体" w:eastAsia="黑体" w:cs="黑体"/>
          <w:b/>
          <w:bCs/>
          <w:kern w:val="2"/>
          <w:sz w:val="24"/>
          <w:szCs w:val="24"/>
          <w:lang w:val="en-US" w:eastAsia="zh-CN"/>
        </w:rPr>
        <w:t>师</w:t>
      </w:r>
      <w:r>
        <w:rPr>
          <w:rFonts w:hint="default" w:ascii="黑体" w:hAnsi="黑体" w:eastAsia="黑体" w:cs="黑体"/>
          <w:b/>
          <w:bCs/>
          <w:kern w:val="2"/>
          <w:sz w:val="24"/>
          <w:szCs w:val="24"/>
          <w:lang w:val="en-US" w:eastAsia="zh-CN"/>
        </w:rPr>
        <w:t>13646269264</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3"/>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12"/>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2"/>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激光设备及配件、机械设备生产、销售资质</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 xml:space="preserve">根据投标人在质保期内可免费提供的备件与耗材数量以及质保期外备品备件的耐用度、价格或折扣等因素进行评分，优得3分，良得2分，一般得1分，未提供不得分。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rPr>
              <w:t>1</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bookmarkStart w:id="58" w:name="_GoBack"/>
      <w:bookmarkEnd w:id="58"/>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合同生效后20天内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79586"/>
      <w:bookmarkStart w:id="7" w:name="_Toc231305090"/>
      <w:bookmarkStart w:id="8" w:name="_Toc231289771"/>
      <w:bookmarkStart w:id="9" w:name="_Toc231284489"/>
      <w:bookmarkStart w:id="10" w:name="_Toc231280344"/>
      <w:bookmarkStart w:id="11" w:name="_Toc231279247"/>
      <w:bookmarkStart w:id="12" w:name="_Toc231279156"/>
      <w:bookmarkStart w:id="13" w:name="_Toc231289932"/>
      <w:bookmarkStart w:id="14" w:name="_Toc231279737"/>
      <w:bookmarkStart w:id="15" w:name="_Toc231276966"/>
      <w:bookmarkStart w:id="16" w:name="_Toc231304988"/>
      <w:bookmarkStart w:id="17" w:name="_Toc231279666"/>
      <w:bookmarkStart w:id="18" w:name="_Toc231280804"/>
      <w:bookmarkStart w:id="19" w:name="_Toc231282228"/>
      <w:bookmarkStart w:id="20" w:name="_Toc231280938"/>
      <w:bookmarkStart w:id="21" w:name="_Toc231281705"/>
      <w:bookmarkStart w:id="22" w:name="_Toc231289905"/>
      <w:bookmarkStart w:id="23" w:name="_Toc231286901"/>
      <w:bookmarkStart w:id="24" w:name="_Toc231281339"/>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bCs w:val="0"/>
          <w:color w:val="000000"/>
          <w:sz w:val="21"/>
          <w:szCs w:val="21"/>
        </w:rPr>
      </w:pPr>
      <w:bookmarkStart w:id="25" w:name="_Toc30593"/>
      <w:bookmarkStart w:id="26" w:name="_Toc34991462"/>
      <w:bookmarkStart w:id="27" w:name="_Toc231279589"/>
      <w:bookmarkStart w:id="28" w:name="_Toc231281342"/>
      <w:bookmarkStart w:id="29" w:name="_Toc231304991"/>
      <w:bookmarkStart w:id="30" w:name="_Toc231280807"/>
      <w:bookmarkStart w:id="31" w:name="_Toc231289935"/>
      <w:bookmarkStart w:id="32" w:name="_Toc231286904"/>
      <w:bookmarkStart w:id="33" w:name="_Toc231279740"/>
      <w:bookmarkStart w:id="34" w:name="_Toc231280941"/>
      <w:bookmarkStart w:id="35" w:name="_Toc231289908"/>
      <w:bookmarkStart w:id="36" w:name="_Toc407266082"/>
      <w:bookmarkStart w:id="37" w:name="_Toc231284492"/>
      <w:bookmarkStart w:id="38" w:name="_Toc231305093"/>
      <w:bookmarkStart w:id="39" w:name="_Toc231279669"/>
      <w:bookmarkStart w:id="40" w:name="_Toc231281708"/>
      <w:bookmarkStart w:id="41" w:name="_Toc231280347"/>
      <w:bookmarkStart w:id="42" w:name="_Toc231289774"/>
      <w:bookmarkStart w:id="43" w:name="_Toc231282231"/>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hAnsi="宋体"/>
          <w:color w:val="000000"/>
          <w:spacing w:val="4"/>
          <w:sz w:val="24"/>
        </w:rPr>
      </w:pPr>
    </w:p>
    <w:p>
      <w:pPr>
        <w:pStyle w:val="4"/>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2"/>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4"/>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2"/>
        <w:spacing w:line="290" w:lineRule="auto"/>
      </w:pPr>
    </w:p>
    <w:p>
      <w:pPr>
        <w:pStyle w:val="2"/>
        <w:spacing w:line="290" w:lineRule="auto"/>
      </w:pPr>
    </w:p>
    <w:p>
      <w:pPr>
        <w:pStyle w:val="2"/>
        <w:spacing w:line="291" w:lineRule="auto"/>
      </w:pPr>
    </w:p>
    <w:p>
      <w:pPr>
        <w:pStyle w:val="2"/>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2"/>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4"/>
        <w:rPr>
          <w:color w:val="000000"/>
        </w:rPr>
      </w:pPr>
    </w:p>
    <w:p>
      <w:pPr>
        <w:pStyle w:val="4"/>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2"/>
        <w:spacing w:line="317" w:lineRule="auto"/>
      </w:pPr>
    </w:p>
    <w:p>
      <w:pPr>
        <w:pStyle w:val="2"/>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2"/>
        <w:spacing w:line="244" w:lineRule="auto"/>
      </w:pPr>
    </w:p>
    <w:p>
      <w:pPr>
        <w:pStyle w:val="2"/>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2"/>
        <w:rPr>
          <w:rFonts w:ascii="宋体" w:hAnsi="宋体" w:eastAsia="宋体" w:cs="宋体"/>
          <w:spacing w:val="-10"/>
          <w:sz w:val="28"/>
          <w:szCs w:val="28"/>
        </w:rPr>
      </w:pPr>
    </w:p>
    <w:p>
      <w:pPr>
        <w:pStyle w:val="4"/>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2"/>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7B6BA0"/>
    <w:rsid w:val="54D23DEC"/>
    <w:rsid w:val="56215851"/>
    <w:rsid w:val="56C305BB"/>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0"/>
    <w:pPr>
      <w:snapToGrid w:val="0"/>
      <w:spacing w:before="120" w:after="120" w:line="360" w:lineRule="auto"/>
    </w:pPr>
    <w:rPr>
      <w:rFonts w:ascii="宋体" w:hAnsi="宋体"/>
      <w:sz w:val="24"/>
      <w:szCs w:val="20"/>
    </w:rPr>
  </w:style>
  <w:style w:type="paragraph" w:styleId="6">
    <w:name w:val="Normal Indent"/>
    <w:basedOn w:val="1"/>
    <w:autoRedefine/>
    <w:qFormat/>
    <w:uiPriority w:val="0"/>
    <w:pPr>
      <w:ind w:firstLine="420"/>
    </w:pPr>
    <w:rPr>
      <w:szCs w:val="20"/>
    </w:rPr>
  </w:style>
  <w:style w:type="paragraph" w:styleId="7">
    <w:name w:val="annotation text"/>
    <w:basedOn w:val="1"/>
    <w:link w:val="28"/>
    <w:autoRedefine/>
    <w:unhideWhenUsed/>
    <w:qFormat/>
    <w:uiPriority w:val="99"/>
    <w:pPr>
      <w:jc w:val="left"/>
    </w:pPr>
    <w:rPr>
      <w:szCs w:val="21"/>
    </w:rPr>
  </w:style>
  <w:style w:type="paragraph" w:styleId="8">
    <w:name w:val="Plain Text"/>
    <w:basedOn w:val="1"/>
    <w:link w:val="25"/>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ascii="Calibri" w:hAnsi="Calibri"/>
      <w:kern w:val="0"/>
      <w:sz w:val="24"/>
    </w:rPr>
  </w:style>
  <w:style w:type="paragraph" w:styleId="12">
    <w:name w:val="Body Text First Indent"/>
    <w:basedOn w:val="2"/>
    <w:autoRedefine/>
    <w:qFormat/>
    <w:uiPriority w:val="99"/>
    <w:pPr>
      <w:ind w:firstLine="420" w:firstLineChars="100"/>
    </w:p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Times New Roman" w:hAnsi="Times New Roman" w:eastAsia="宋体" w:cs="Times New Roman"/>
    </w:rPr>
  </w:style>
  <w:style w:type="character" w:styleId="17">
    <w:name w:val="Hyperlink"/>
    <w:basedOn w:val="15"/>
    <w:autoRedefine/>
    <w:unhideWhenUsed/>
    <w:qFormat/>
    <w:uiPriority w:val="99"/>
    <w:rPr>
      <w:color w:val="0000FF"/>
      <w:u w:val="single"/>
    </w:rPr>
  </w:style>
  <w:style w:type="paragraph" w:customStyle="1" w:styleId="18">
    <w:name w:val="Default"/>
    <w:next w:val="1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5"/>
    <w:autoRedefine/>
    <w:semiHidden/>
    <w:qFormat/>
    <w:uiPriority w:val="0"/>
    <w:rPr>
      <w:b/>
      <w:bCs/>
      <w:kern w:val="2"/>
      <w:sz w:val="32"/>
      <w:szCs w:val="32"/>
    </w:rPr>
  </w:style>
  <w:style w:type="character" w:customStyle="1" w:styleId="24">
    <w:name w:val="正文文本 字符"/>
    <w:link w:val="2"/>
    <w:autoRedefine/>
    <w:qFormat/>
    <w:uiPriority w:val="0"/>
    <w:rPr>
      <w:rFonts w:ascii="宋体" w:hAnsi="宋体"/>
      <w:kern w:val="2"/>
      <w:sz w:val="24"/>
    </w:rPr>
  </w:style>
  <w:style w:type="character" w:customStyle="1" w:styleId="25">
    <w:name w:val="纯文本 字符"/>
    <w:link w:val="8"/>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5"/>
    <w:link w:val="7"/>
    <w:autoRedefine/>
    <w:qFormat/>
    <w:uiPriority w:val="99"/>
    <w:rPr>
      <w:kern w:val="2"/>
      <w:sz w:val="21"/>
      <w:szCs w:val="21"/>
    </w:rPr>
  </w:style>
  <w:style w:type="character" w:customStyle="1" w:styleId="29">
    <w:name w:val="15"/>
    <w:basedOn w:val="15"/>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2</TotalTime>
  <ScaleCrop>false</ScaleCrop>
  <LinksUpToDate>false</LinksUpToDate>
  <CharactersWithSpaces>11267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2023-11-30T07:44:00Z</cp:lastPrinted>
  <dcterms:modified xsi:type="dcterms:W3CDTF">2024-04-08T01:06:58Z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8A70C8F2B8504748A12F2AC361E225A9_13</vt:lpwstr>
  </property>
</Properties>
</file>